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bidi w:val="0"/>
        <w:ind w:left="0" w:right="0" w:firstLine="0"/>
        <w:jc w:val="right"/>
        <w:rPr>
          <w:rFonts w:ascii="Verdana" w:cs="Verdana" w:hAnsi="Verdana" w:eastAsia="Verdana"/>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Press Release</w:t>
      </w:r>
    </w:p>
    <w:p>
      <w:pPr>
        <w:pStyle w:val="Table Style 2"/>
        <w:bidi w:val="0"/>
        <w:ind w:left="0" w:right="0" w:firstLine="0"/>
        <w:jc w:val="right"/>
        <w:rPr>
          <w:rFonts w:ascii="Verdana" w:cs="Verdana" w:hAnsi="Verdana" w:eastAsia="Verdana"/>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Media Contacts:</w:t>
      </w:r>
    </w:p>
    <w:p>
      <w:pPr>
        <w:pStyle w:val="Table Style 2"/>
        <w:bidi w:val="0"/>
        <w:ind w:left="0" w:right="0" w:firstLine="0"/>
        <w:jc w:val="right"/>
        <w:rPr>
          <w:rFonts w:ascii="Verdana" w:cs="Verdana" w:hAnsi="Verdana" w:eastAsia="Verdana"/>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fr-FR"/>
          <w14:textFill>
            <w14:solidFill>
              <w14:srgbClr w14:val="292929"/>
            </w14:solidFill>
          </w14:textFill>
        </w:rPr>
        <w:t>IB Communications</w:t>
      </w:r>
    </w:p>
    <w:p>
      <w:pPr>
        <w:pStyle w:val="Table Style 2"/>
        <w:bidi w:val="0"/>
        <w:ind w:left="0" w:right="0" w:firstLine="0"/>
        <w:jc w:val="right"/>
        <w:rPr>
          <w:rFonts w:ascii="Verdana" w:cs="Verdana" w:hAnsi="Verdana" w:eastAsia="Verdana"/>
          <w:outline w:val="0"/>
          <w:color w:val="282828"/>
          <w:sz w:val="18"/>
          <w:szCs w:val="18"/>
          <w:u w:color="0000ff"/>
          <w:rtl w:val="0"/>
          <w14:textFill>
            <w14:solidFill>
              <w14:srgbClr w14:val="292929"/>
            </w14:solidFill>
          </w14:textFill>
        </w:rPr>
      </w:pPr>
      <w:r>
        <w:rPr>
          <w:rFonts w:ascii="Verdana" w:hAnsi="Verdana"/>
          <w:outline w:val="0"/>
          <w:color w:val="282828"/>
          <w:sz w:val="18"/>
          <w:szCs w:val="18"/>
          <w:u w:color="0000ff"/>
          <w:rtl w:val="0"/>
          <w14:textFill>
            <w14:solidFill>
              <w14:srgbClr w14:val="292929"/>
            </w14:solidFill>
          </w14:textFill>
        </w:rPr>
        <w:t>Tel</w:t>
      </w:r>
      <w:r>
        <w:rPr>
          <w:rFonts w:ascii="Verdana" w:hAnsi="Verdana" w:hint="default"/>
          <w:outline w:val="0"/>
          <w:color w:val="282828"/>
          <w:sz w:val="18"/>
          <w:szCs w:val="18"/>
          <w:u w:color="0000ff"/>
          <w:rtl w:val="0"/>
          <w14:textFill>
            <w14:solidFill>
              <w14:srgbClr w14:val="292929"/>
            </w14:solidFill>
          </w14:textFill>
        </w:rPr>
        <w:t> </w:t>
      </w:r>
      <w:r>
        <w:rPr>
          <w:rStyle w:val="Hyperlink.0"/>
          <w:rFonts w:ascii="Verdana" w:cs="Verdana" w:hAnsi="Verdana" w:eastAsia="Verdana"/>
          <w:outline w:val="0"/>
          <w:color w:val="282828"/>
          <w:sz w:val="18"/>
          <w:szCs w:val="18"/>
          <w:u w:color="0000ff"/>
          <w:rtl w:val="0"/>
          <w14:textFill>
            <w14:solidFill>
              <w14:srgbClr w14:val="292929"/>
            </w14:solidFill>
          </w14:textFill>
        </w:rPr>
        <w:fldChar w:fldCharType="begin" w:fldLock="0"/>
      </w:r>
      <w:r>
        <w:rPr>
          <w:rStyle w:val="Hyperlink.0"/>
          <w:rFonts w:ascii="Verdana" w:cs="Verdana" w:hAnsi="Verdana" w:eastAsia="Verdana"/>
          <w:outline w:val="0"/>
          <w:color w:val="282828"/>
          <w:sz w:val="18"/>
          <w:szCs w:val="18"/>
          <w:u w:color="0000ff"/>
          <w:rtl w:val="0"/>
          <w14:textFill>
            <w14:solidFill>
              <w14:srgbClr w14:val="292929"/>
            </w14:solidFill>
          </w14:textFill>
        </w:rPr>
        <w:instrText xml:space="preserve"> HYPERLINK "tel:+44%20(0)20%2089434685"</w:instrText>
      </w:r>
      <w:r>
        <w:rPr>
          <w:rStyle w:val="Hyperlink.0"/>
          <w:rFonts w:ascii="Verdana" w:cs="Verdana" w:hAnsi="Verdana" w:eastAsia="Verdana"/>
          <w:outline w:val="0"/>
          <w:color w:val="282828"/>
          <w:sz w:val="18"/>
          <w:szCs w:val="18"/>
          <w:u w:color="0000ff"/>
          <w:rtl w:val="0"/>
          <w14:textFill>
            <w14:solidFill>
              <w14:srgbClr w14:val="292929"/>
            </w14:solidFill>
          </w14:textFill>
        </w:rPr>
        <w:fldChar w:fldCharType="separate" w:fldLock="0"/>
      </w:r>
      <w:r>
        <w:rPr>
          <w:rStyle w:val="Hyperlink.0"/>
          <w:rFonts w:ascii="Verdana" w:hAnsi="Verdana"/>
          <w:outline w:val="0"/>
          <w:color w:val="282828"/>
          <w:sz w:val="18"/>
          <w:szCs w:val="18"/>
          <w:u w:color="0000ff"/>
          <w:rtl w:val="0"/>
          <w14:textFill>
            <w14:solidFill>
              <w14:srgbClr w14:val="292929"/>
            </w14:solidFill>
          </w14:textFill>
        </w:rPr>
        <w:t>+44 (0)20 89434685</w:t>
      </w:r>
      <w:r>
        <w:rPr>
          <w:rFonts w:ascii="Verdana" w:cs="Verdana" w:hAnsi="Verdana" w:eastAsia="Verdana"/>
          <w:outline w:val="0"/>
          <w:color w:val="282828"/>
          <w:sz w:val="18"/>
          <w:szCs w:val="18"/>
          <w:u w:color="0000ff"/>
          <w:rtl w:val="0"/>
          <w14:textFill>
            <w14:solidFill>
              <w14:srgbClr w14:val="292929"/>
            </w14:solidFill>
          </w14:textFill>
        </w:rPr>
        <w:fldChar w:fldCharType="end" w:fldLock="0"/>
      </w:r>
    </w:p>
    <w:p>
      <w:pPr>
        <w:pStyle w:val="Table Style 2"/>
        <w:bidi w:val="0"/>
        <w:ind w:left="0" w:right="0" w:firstLine="0"/>
        <w:jc w:val="right"/>
        <w:rPr>
          <w:rFonts w:ascii="Verdana" w:cs="Verdana" w:hAnsi="Verdana" w:eastAsia="Verdana"/>
          <w:outline w:val="0"/>
          <w:color w:val="282828"/>
          <w:sz w:val="18"/>
          <w:szCs w:val="18"/>
          <w:u w:color="0000ff"/>
          <w:rtl w:val="0"/>
          <w14:textFill>
            <w14:solidFill>
              <w14:srgbClr w14:val="292929"/>
            </w14:solidFill>
          </w14:textFill>
        </w:rPr>
      </w:pPr>
      <w:r>
        <w:rPr>
          <w:rStyle w:val="Hyperlink.0"/>
          <w:rFonts w:ascii="Verdana" w:cs="Verdana" w:hAnsi="Verdana" w:eastAsia="Verdana"/>
          <w:outline w:val="0"/>
          <w:color w:val="282828"/>
          <w:sz w:val="18"/>
          <w:szCs w:val="18"/>
          <w:u w:color="0000ff"/>
          <w:rtl w:val="0"/>
          <w14:textFill>
            <w14:solidFill>
              <w14:srgbClr w14:val="292929"/>
            </w14:solidFill>
          </w14:textFill>
        </w:rPr>
        <w:fldChar w:fldCharType="begin" w:fldLock="0"/>
      </w:r>
      <w:r>
        <w:rPr>
          <w:rStyle w:val="Hyperlink.0"/>
          <w:rFonts w:ascii="Verdana" w:cs="Verdana" w:hAnsi="Verdana" w:eastAsia="Verdana"/>
          <w:outline w:val="0"/>
          <w:color w:val="282828"/>
          <w:sz w:val="18"/>
          <w:szCs w:val="18"/>
          <w:u w:color="0000ff"/>
          <w:rtl w:val="0"/>
          <w14:textFill>
            <w14:solidFill>
              <w14:srgbClr w14:val="292929"/>
            </w14:solidFill>
          </w14:textFill>
        </w:rPr>
        <w:instrText xml:space="preserve"> HYPERLINK "mailto:biosenic@ibcomms.agency"</w:instrText>
      </w:r>
      <w:r>
        <w:rPr>
          <w:rStyle w:val="Hyperlink.0"/>
          <w:rFonts w:ascii="Verdana" w:cs="Verdana" w:hAnsi="Verdana" w:eastAsia="Verdana"/>
          <w:outline w:val="0"/>
          <w:color w:val="282828"/>
          <w:sz w:val="18"/>
          <w:szCs w:val="18"/>
          <w:u w:color="0000ff"/>
          <w:rtl w:val="0"/>
          <w14:textFill>
            <w14:solidFill>
              <w14:srgbClr w14:val="292929"/>
            </w14:solidFill>
          </w14:textFill>
        </w:rPr>
        <w:fldChar w:fldCharType="separate" w:fldLock="0"/>
      </w:r>
      <w:r>
        <w:rPr>
          <w:rStyle w:val="Hyperlink.0"/>
          <w:rFonts w:ascii="Verdana" w:hAnsi="Verdana"/>
          <w:outline w:val="0"/>
          <w:color w:val="282828"/>
          <w:sz w:val="18"/>
          <w:szCs w:val="18"/>
          <w:u w:color="0000ff"/>
          <w:rtl w:val="0"/>
          <w:lang w:val="en-US"/>
          <w14:textFill>
            <w14:solidFill>
              <w14:srgbClr w14:val="292929"/>
            </w14:solidFill>
          </w14:textFill>
        </w:rPr>
        <w:t>biosenic@ibcomms.agency</w:t>
      </w:r>
      <w:r>
        <w:rPr>
          <w:rFonts w:ascii="Verdana" w:cs="Verdana" w:hAnsi="Verdana" w:eastAsia="Verdana"/>
          <w:outline w:val="0"/>
          <w:color w:val="282828"/>
          <w:sz w:val="18"/>
          <w:szCs w:val="18"/>
          <w:u w:color="0000ff"/>
          <w:rtl w:val="0"/>
          <w14:textFill>
            <w14:solidFill>
              <w14:srgbClr w14:val="292929"/>
            </w14:solidFill>
          </w14:textFill>
        </w:rPr>
        <w:fldChar w:fldCharType="end" w:fldLock="0"/>
      </w:r>
    </w:p>
    <w:p>
      <w:pPr>
        <w:pStyle w:val="Table Style 2"/>
        <w:bidi w:val="0"/>
        <w:ind w:left="0" w:right="0" w:firstLine="0"/>
        <w:jc w:val="right"/>
        <w:rPr>
          <w:rFonts w:ascii="Verdana" w:cs="Verdana" w:hAnsi="Verdana" w:eastAsia="Verdana"/>
          <w:outline w:val="0"/>
          <w:color w:val="282828"/>
          <w:sz w:val="18"/>
          <w:szCs w:val="18"/>
          <w:u w:color="0000ff"/>
          <w:rtl w:val="0"/>
          <w14:textFill>
            <w14:solidFill>
              <w14:srgbClr w14:val="292929"/>
            </w14:solidFill>
          </w14:textFill>
        </w:rPr>
      </w:pPr>
    </w:p>
    <w:p>
      <w:pPr>
        <w:pStyle w:val="Table Style 2"/>
        <w:bidi w:val="0"/>
        <w:ind w:left="0" w:right="0" w:firstLine="0"/>
        <w:jc w:val="right"/>
        <w:rPr>
          <w:rFonts w:ascii="Verdana" w:cs="Verdana" w:hAnsi="Verdana" w:eastAsia="Verdana"/>
          <w:outline w:val="0"/>
          <w:color w:val="282828"/>
          <w:sz w:val="18"/>
          <w:szCs w:val="18"/>
          <w:u w:color="0000ff"/>
          <w:rtl w:val="0"/>
          <w14:textFill>
            <w14:solidFill>
              <w14:srgbClr w14:val="292929"/>
            </w14:solidFill>
          </w14:textFill>
        </w:rPr>
      </w:pPr>
    </w:p>
    <w:p>
      <w:pPr>
        <w:pStyle w:val="Table Style 2"/>
        <w:bidi w:val="0"/>
        <w:ind w:left="0" w:right="0" w:firstLine="0"/>
        <w:jc w:val="right"/>
        <w:rPr>
          <w:rFonts w:ascii="Verdana" w:cs="Verdana" w:hAnsi="Verdana" w:eastAsia="Verdana"/>
          <w:outline w:val="0"/>
          <w:color w:val="282828"/>
          <w:sz w:val="18"/>
          <w:szCs w:val="18"/>
          <w:u w:color="0000ff"/>
          <w:rtl w:val="0"/>
          <w14:textFill>
            <w14:solidFill>
              <w14:srgbClr w14:val="292929"/>
            </w14:solidFill>
          </w14:textFill>
        </w:rPr>
      </w:pPr>
    </w:p>
    <w:p>
      <w:pPr>
        <w:pStyle w:val="Table Style 2"/>
        <w:bidi w:val="0"/>
        <w:ind w:left="0" w:right="0" w:firstLine="0"/>
        <w:jc w:val="right"/>
        <w:rPr>
          <w:rFonts w:ascii="Verdana" w:cs="Verdana" w:hAnsi="Verdana" w:eastAsia="Verdana"/>
          <w:outline w:val="0"/>
          <w:color w:val="282828"/>
          <w:sz w:val="18"/>
          <w:szCs w:val="18"/>
          <w:u w:color="0000ff"/>
          <w:rtl w:val="0"/>
          <w14:textFill>
            <w14:solidFill>
              <w14:srgbClr w14:val="292929"/>
            </w14:solidFill>
          </w14:textFill>
        </w:rPr>
      </w:pPr>
    </w:p>
    <w:p>
      <w:pPr>
        <w:pStyle w:val="Table Style 2"/>
        <w:bidi w:val="0"/>
        <w:ind w:left="0" w:right="0" w:firstLine="0"/>
        <w:jc w:val="right"/>
        <w:rPr>
          <w:rFonts w:ascii="Verdana" w:cs="Verdana" w:hAnsi="Verdana" w:eastAsia="Verdana"/>
          <w:outline w:val="0"/>
          <w:color w:val="282828"/>
          <w:sz w:val="18"/>
          <w:szCs w:val="18"/>
          <w:u w:color="0000ff"/>
          <w:rtl w:val="0"/>
          <w14:textFill>
            <w14:solidFill>
              <w14:srgbClr w14:val="292929"/>
            </w14:solidFill>
          </w14:textFill>
        </w:rPr>
      </w:pP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p>
    <w:p>
      <w:pPr>
        <w:pStyle w:val="Table Style 2"/>
        <w:bidi w:val="0"/>
        <w:ind w:left="0" w:right="0" w:firstLine="0"/>
        <w:jc w:val="left"/>
        <w:rPr>
          <w:rFonts w:ascii="Verdana" w:cs="Verdana" w:hAnsi="Verdana" w:eastAsia="Verdana"/>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BioSenic publishes new evidence of beneficial effects of arsenic trioxide treatment supporting clinical trial for systemic sclerosis</w:t>
      </w:r>
    </w:p>
    <w:p>
      <w:pPr>
        <w:pStyle w:val="Table Style 2"/>
        <w:bidi w:val="0"/>
        <w:ind w:left="0" w:right="0" w:firstLine="0"/>
        <w:jc w:val="left"/>
        <w:rPr>
          <w:rFonts w:ascii="Verdana" w:cs="Verdana" w:hAnsi="Verdana" w:eastAsia="Verdana"/>
          <w:outline w:val="0"/>
          <w:color w:val="282828"/>
          <w:sz w:val="18"/>
          <w:szCs w:val="18"/>
          <w:rtl w:val="0"/>
          <w14:textFill>
            <w14:solidFill>
              <w14:srgbClr w14:val="292929"/>
            </w14:solidFill>
          </w14:textFill>
        </w:rPr>
      </w:pPr>
    </w:p>
    <w:p>
      <w:pPr>
        <w:pStyle w:val="Table Style 2"/>
        <w:bidi w:val="0"/>
        <w:ind w:left="0" w:right="0" w:firstLine="0"/>
        <w:jc w:val="left"/>
        <w:rPr>
          <w:rFonts w:ascii="Verdana" w:cs="Verdana" w:hAnsi="Verdana" w:eastAsia="Verdana"/>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Arsenic trioxide (ATO) therapeutic potential to treat systemic sclerosis (SSc) is now confirmed in a new preclinical model - Fra2- characterized by severe pulmonary lesions</w:t>
      </w:r>
    </w:p>
    <w:p>
      <w:pPr>
        <w:pStyle w:val="Table Style 2"/>
        <w:bidi w:val="0"/>
        <w:ind w:left="0" w:right="0" w:firstLine="0"/>
        <w:jc w:val="left"/>
        <w:rPr>
          <w:rFonts w:ascii="Verdana" w:cs="Verdana" w:hAnsi="Verdana" w:eastAsia="Verdana"/>
          <w:outline w:val="0"/>
          <w:color w:val="282828"/>
          <w:sz w:val="18"/>
          <w:szCs w:val="18"/>
          <w:rtl w:val="0"/>
          <w14:textFill>
            <w14:solidFill>
              <w14:srgbClr w14:val="292929"/>
            </w14:solidFill>
          </w14:textFill>
        </w:rPr>
      </w:pPr>
    </w:p>
    <w:p>
      <w:pPr>
        <w:pStyle w:val="Table Style 2"/>
        <w:bidi w:val="0"/>
        <w:ind w:left="0" w:right="0" w:firstLine="0"/>
        <w:jc w:val="left"/>
        <w:rPr>
          <w:rFonts w:ascii="Verdana" w:cs="Verdana" w:hAnsi="Verdana" w:eastAsia="Verdana"/>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fr-FR"/>
          <w14:textFill>
            <w14:solidFill>
              <w14:srgbClr w14:val="292929"/>
            </w14:solidFill>
          </w14:textFill>
        </w:rPr>
        <w:t xml:space="preserve">Mont-Saint-Guibert, Belgium, September 19, 2023 </w:t>
      </w:r>
      <w:r>
        <w:rPr>
          <w:rFonts w:ascii="Verdana" w:hAnsi="Verdana" w:hint="default"/>
          <w:b w:val="1"/>
          <w:bCs w:val="1"/>
          <w:outline w:val="0"/>
          <w:color w:val="282828"/>
          <w:sz w:val="18"/>
          <w:szCs w:val="18"/>
          <w:rtl w:val="0"/>
          <w14:textFill>
            <w14:solidFill>
              <w14:srgbClr w14:val="292929"/>
            </w14:solidFill>
          </w14:textFill>
        </w:rPr>
        <w:t xml:space="preserve">– </w:t>
      </w:r>
      <w:r>
        <w:rPr>
          <w:rStyle w:val="Hyperlink.1"/>
          <w:rFonts w:ascii="Verdana" w:cs="Verdana" w:hAnsi="Verdana" w:eastAsia="Verdana"/>
          <w:outline w:val="0"/>
          <w:color w:val="282828"/>
          <w:sz w:val="18"/>
          <w:szCs w:val="18"/>
          <w:rtl w:val="0"/>
          <w14:textFill>
            <w14:solidFill>
              <w14:srgbClr w14:val="292929"/>
            </w14:solidFill>
          </w14:textFill>
        </w:rPr>
        <w:fldChar w:fldCharType="begin" w:fldLock="0"/>
      </w:r>
      <w:r>
        <w:rPr>
          <w:rStyle w:val="Hyperlink.1"/>
          <w:rFonts w:ascii="Verdana" w:cs="Verdana" w:hAnsi="Verdana" w:eastAsia="Verdana"/>
          <w:outline w:val="0"/>
          <w:color w:val="282828"/>
          <w:sz w:val="18"/>
          <w:szCs w:val="18"/>
          <w:rtl w:val="0"/>
          <w14:textFill>
            <w14:solidFill>
              <w14:srgbClr w14:val="292929"/>
            </w14:solidFill>
          </w14:textFill>
        </w:rPr>
        <w:instrText xml:space="preserve"> HYPERLINK "https://click.agilitypr.delivery/ls/click?upn=x0SJT0-2BQwcXxaFugdr-2BQ6UgjaGvM9R9fm1wAZv7HFwJIOAInKqsVylbyJTfFTEQlhf2P_0v1WfzW3RyCyUmxOPcTd72nhp2tUCWdxq-2BDfwFXst-2F2aCPEFEoG1XfVfIkfPiSy0mEjkyHBzVnFoAkbS-2F5layN7jb3jKt4t-2B7PUlBuPd8oa2iV0KJeK-2FlzJP8b-2Fe3PPgaZFVyn095QOxJQgxJkgWBysV0HCvCygBn7Au6rim5NJEEc00Q-2Bkw-2FIvvsggZVKiizW3aa1qOiWVcNUF6OXha1P4ymeBbUFBWxdH-2BPvIYvR2PYna-2FJ-2FXFsKLoIsyYj8AINL8n7YN5TIQo7L2wfRStRB0DllO28HorMdYnLVEBvVV7WyTLU1k5fMu80rejRR0V6aZSjftCXN3CIMU88v2jk4Te8A1PPKZK-2BT3HzccAEq-2BoahwU2u6e2AMpHMc3pCdwe0ZOKIpLE45s7m74Waqwr9tu1qVShpmIJymmbiBgNgCm5OSIxdM6hsAMfpu54pTAP00xkX-2Fj722rNkgzxGLGdQ-3D-3D"</w:instrText>
      </w:r>
      <w:r>
        <w:rPr>
          <w:rStyle w:val="Hyperlink.1"/>
          <w:rFonts w:ascii="Verdana" w:cs="Verdana" w:hAnsi="Verdana" w:eastAsia="Verdana"/>
          <w:outline w:val="0"/>
          <w:color w:val="282828"/>
          <w:sz w:val="18"/>
          <w:szCs w:val="18"/>
          <w:rtl w:val="0"/>
          <w14:textFill>
            <w14:solidFill>
              <w14:srgbClr w14:val="292929"/>
            </w14:solidFill>
          </w14:textFill>
        </w:rPr>
        <w:fldChar w:fldCharType="separate" w:fldLock="0"/>
      </w:r>
      <w:r>
        <w:rPr>
          <w:rStyle w:val="Hyperlink.1"/>
          <w:rFonts w:ascii="Verdana" w:hAnsi="Verdana"/>
          <w:outline w:val="0"/>
          <w:color w:val="282828"/>
          <w:sz w:val="18"/>
          <w:szCs w:val="18"/>
          <w:rtl w:val="0"/>
          <w:lang w:val="de-DE"/>
          <w14:textFill>
            <w14:solidFill>
              <w14:srgbClr w14:val="292929"/>
            </w14:solidFill>
          </w14:textFill>
        </w:rPr>
        <w:t>BIOSENIC</w:t>
      </w:r>
      <w:r>
        <w:rPr>
          <w:rFonts w:ascii="Verdana" w:cs="Verdana" w:hAnsi="Verdana" w:eastAsia="Verdana"/>
          <w:outline w:val="0"/>
          <w:color w:val="282828"/>
          <w:sz w:val="18"/>
          <w:szCs w:val="18"/>
          <w:rtl w:val="0"/>
          <w14:textFill>
            <w14:solidFill>
              <w14:srgbClr w14:val="292929"/>
            </w14:solidFill>
          </w14:textFill>
        </w:rPr>
        <w:fldChar w:fldCharType="end" w:fldLock="0"/>
      </w:r>
      <w:r>
        <w:rPr>
          <w:rFonts w:ascii="Verdana" w:hAnsi="Verdana"/>
          <w:outline w:val="0"/>
          <w:color w:val="282828"/>
          <w:sz w:val="18"/>
          <w:szCs w:val="18"/>
          <w:rtl w:val="0"/>
          <w:lang w:val="en-US"/>
          <w14:textFill>
            <w14:solidFill>
              <w14:srgbClr w14:val="292929"/>
            </w14:solidFill>
          </w14:textFill>
        </w:rPr>
        <w:t xml:space="preserve"> (Euronext Brussels and Paris: BIOS), the clinical-stage company specializing in serious autoimmune and inflammatory diseases and cell therapy, today announces the publication of data providing additional key indications of its lead API (Active Pharmaceutical Ingredient) arsenic trioxide (ATO) to treat systemic sclerosis (SSc) in a peer-reviewed international journal.</w:t>
      </w: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left"/>
        <w:rPr>
          <w:rFonts w:ascii="Verdana" w:cs="Verdana" w:hAnsi="Verdana" w:eastAsia="Verdana"/>
          <w:outline w:val="0"/>
          <w:color w:val="282828"/>
          <w:sz w:val="18"/>
          <w:szCs w:val="18"/>
          <w:rtl w:val="0"/>
          <w14:textFill>
            <w14:solidFill>
              <w14:srgbClr w14:val="292929"/>
            </w14:solidFill>
          </w14:textFill>
        </w:rPr>
      </w:pPr>
    </w:p>
    <w:p>
      <w:pPr>
        <w:pStyle w:val="Table Style 2"/>
        <w:bidi w:val="0"/>
        <w:ind w:left="0" w:right="0" w:firstLine="0"/>
        <w:jc w:val="left"/>
        <w:rPr>
          <w:rFonts w:ascii="Verdana" w:cs="Verdana" w:hAnsi="Verdana" w:eastAsia="Verdana"/>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 xml:space="preserve">The data are published in an article entitled </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Arsenic trioxide demonstrates efficacy in a mouse model of preclinical systemic sclerosis</w:t>
      </w:r>
      <w:r>
        <w:rPr>
          <w:rFonts w:ascii="Verdana" w:hAnsi="Verdana" w:hint="default"/>
          <w:outline w:val="0"/>
          <w:color w:val="282828"/>
          <w:sz w:val="18"/>
          <w:szCs w:val="18"/>
          <w:rtl w:val="1"/>
          <w14:textFill>
            <w14:solidFill>
              <w14:srgbClr w14:val="292929"/>
            </w14:solidFill>
          </w14:textFill>
        </w:rPr>
        <w:t xml:space="preserve">’ </w:t>
      </w:r>
      <w:r>
        <w:rPr>
          <w:rFonts w:ascii="Verdana" w:hAnsi="Verdana"/>
          <w:outline w:val="0"/>
          <w:color w:val="282828"/>
          <w:sz w:val="18"/>
          <w:szCs w:val="18"/>
          <w:rtl w:val="0"/>
          <w:lang w:val="en-US"/>
          <w14:textFill>
            <w14:solidFill>
              <w14:srgbClr w14:val="292929"/>
            </w14:solidFill>
          </w14:textFill>
        </w:rPr>
        <w:t>in the international journal Arthritis Research &amp; Therapy. This work studies the effects of ATO on a preclinical auto-immune disease model, that develops severe abnormal vascular remodelilng of pulmonary arterioles and nonspecific interstitial pneumonia-like lung disease, closely resembling human systemic sclerosis</w:t>
      </w:r>
      <w:r>
        <w:rPr>
          <w:rFonts w:ascii="Verdana" w:hAnsi="Verdana" w:hint="default"/>
          <w:outline w:val="0"/>
          <w:color w:val="282828"/>
          <w:sz w:val="18"/>
          <w:szCs w:val="18"/>
          <w:rtl w:val="0"/>
          <w14:textFill>
            <w14:solidFill>
              <w14:srgbClr w14:val="292929"/>
            </w14:solidFill>
          </w14:textFill>
        </w:rPr>
        <w:t> </w:t>
      </w:r>
      <w:r>
        <w:rPr>
          <w:rFonts w:ascii="Verdana" w:hAnsi="Verdana"/>
          <w:outline w:val="0"/>
          <w:color w:val="282828"/>
          <w:sz w:val="18"/>
          <w:szCs w:val="18"/>
          <w:rtl w:val="0"/>
          <w:lang w:val="en-US"/>
          <w14:textFill>
            <w14:solidFill>
              <w14:srgbClr w14:val="292929"/>
            </w14:solidFill>
          </w14:textFill>
        </w:rPr>
        <w:t>(SSc)-associated pulmonary hypertension.</w:t>
      </w: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left"/>
        <w:rPr>
          <w:rFonts w:ascii="Verdana" w:cs="Verdana" w:hAnsi="Verdana" w:eastAsia="Verdana"/>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left"/>
        <w:rPr>
          <w:rFonts w:ascii="Verdana" w:cs="Verdana" w:hAnsi="Verdana" w:eastAsia="Verdana"/>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 xml:space="preserve">Marked beneficial effects of ATO on skin and lung fibrosis, vascular damage and scleroderma-like lesions have been previously described by Kavian et al. (J Immunol 2012 May; Arthritis Rheum 2012 Oct) </w:t>
      </w:r>
      <w:r>
        <w:rPr>
          <w:rStyle w:val="None"/>
          <w:rFonts w:ascii="Verdana" w:hAnsi="Verdana"/>
          <w:i w:val="1"/>
          <w:iCs w:val="1"/>
          <w:outline w:val="0"/>
          <w:color w:val="282828"/>
          <w:sz w:val="18"/>
          <w:szCs w:val="18"/>
          <w:rtl w:val="0"/>
          <w:lang w:val="it-IT"/>
          <w14:textFill>
            <w14:solidFill>
              <w14:srgbClr w14:val="292929"/>
            </w14:solidFill>
          </w14:textFill>
        </w:rPr>
        <w:t>in vitro</w:t>
      </w:r>
      <w:r>
        <w:rPr>
          <w:rFonts w:ascii="Verdana" w:hAnsi="Verdana"/>
          <w:outline w:val="0"/>
          <w:color w:val="282828"/>
          <w:sz w:val="18"/>
          <w:szCs w:val="18"/>
          <w:rtl w:val="0"/>
          <w:lang w:val="en-US"/>
          <w14:textFill>
            <w14:solidFill>
              <w14:srgbClr w14:val="292929"/>
            </w14:solidFill>
          </w14:textFill>
        </w:rPr>
        <w:t xml:space="preserve"> and in SSc preclinical models, at the Cochin Institute</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facilities in Paris, France. The new data, in a third valuable preclinical model, show a significant reduction in inflammatory infiltration and a strong improvement in vascular remodelling, mediated by an immune status improvement, particularly involving T-cells. These findings represent a substantial advancement in understanding of the complex interplay between inflammation-driven fibrosis and the pathophysiology of SSc. These results give ground to the proposed clinical relevance of ATO treatment in SSc, and more generally in autoimmune pathologies, where lung is often impacted by fibrosis and vascular remodelling.</w:t>
      </w: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left"/>
        <w:rPr>
          <w:rFonts w:ascii="Verdana" w:cs="Verdana" w:hAnsi="Verdana" w:eastAsia="Verdana"/>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left"/>
        <w:rPr>
          <w:rFonts w:ascii="Verdana" w:cs="Verdana" w:hAnsi="Verdana" w:eastAsia="Verdana"/>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In oncology, ATO is now recognized as a first-line treatment for acute promyelocytic leukaemia, with demonstrated safety and long-term remission. BioS</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720000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Fonts w:ascii="Verdana" w:hAnsi="Verdana"/>
          <w:outline w:val="0"/>
          <w:color w:val="282828"/>
          <w:sz w:val="18"/>
          <w:szCs w:val="18"/>
          <w:rtl w:val="0"/>
          <w:lang w:val="en-US"/>
          <w14:textFill>
            <w14:solidFill>
              <w14:srgbClr w14:val="292929"/>
            </w14:solidFill>
          </w14:textFill>
        </w:rPr>
        <w:t>enic had recently further demonstrated the safety and efficacy of ATO treatment in successful clinical programs targeting chronic Graft-versus-Host Disease, in a phase 2 and Systemic Lupus Erythematosus (SLE), in a phase 2a trial. BioSenic believes that the clinical data it has helped to generate over the past decade, together with its ongoing efforts to understand the cellular pathways that are controlled by ATO administration at the right dose and time, now allow for further expansion of clinical trials targets. This applies to new indications in autoimmunity and inflammatory diseases. This is a reason why BioSenic specifically selected SSc for a systematic clinical approach to testing ATO as a novel first-in-class therapy.</w:t>
      </w:r>
    </w:p>
    <w:p>
      <w:pPr>
        <w:pStyle w:val="Table Style 2"/>
        <w:bidi w:val="0"/>
        <w:ind w:left="0" w:right="0" w:firstLine="0"/>
        <w:jc w:val="left"/>
        <w:rPr>
          <w:rFonts w:ascii="Verdana" w:cs="Verdana" w:hAnsi="Verdana" w:eastAsia="Verdana"/>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left"/>
        <w:rPr>
          <w:rStyle w:val="None"/>
          <w:rFonts w:ascii="Verdana" w:cs="Verdana" w:hAnsi="Verdana" w:eastAsia="Verdana"/>
          <w:i w:val="0"/>
          <w:iCs w:val="0"/>
          <w:outline w:val="0"/>
          <w:color w:val="282828"/>
          <w:sz w:val="18"/>
          <w:szCs w:val="18"/>
          <w:rtl w:val="0"/>
          <w14:textFill>
            <w14:solidFill>
              <w14:srgbClr w14:val="292929"/>
            </w14:solidFill>
          </w14:textFill>
        </w:rPr>
      </w:pPr>
      <w:r>
        <w:rPr>
          <w:rStyle w:val="None"/>
          <w:rFonts w:ascii="Verdana" w:hAnsi="Verdana"/>
          <w:b w:val="1"/>
          <w:bCs w:val="1"/>
          <w:i w:val="0"/>
          <w:iCs w:val="0"/>
          <w:outline w:val="0"/>
          <w:color w:val="282828"/>
          <w:sz w:val="18"/>
          <w:szCs w:val="18"/>
          <w:rtl w:val="0"/>
          <w14:textFill>
            <w14:solidFill>
              <w14:srgbClr w14:val="292929"/>
            </w14:solidFill>
          </w14:textFill>
        </w:rPr>
        <w:t>Fran</w:t>
      </w:r>
      <w:r>
        <w:rPr>
          <w:rStyle w:val="None"/>
          <w:rFonts w:ascii="Verdana" w:hAnsi="Verdana" w:hint="default"/>
          <w:b w:val="1"/>
          <w:bCs w:val="1"/>
          <w:i w:val="0"/>
          <w:iCs w:val="0"/>
          <w:outline w:val="0"/>
          <w:color w:val="282828"/>
          <w:sz w:val="18"/>
          <w:szCs w:val="18"/>
          <w:rtl w:val="0"/>
          <w14:textFill>
            <w14:solidFill>
              <w14:srgbClr w14:val="292929"/>
            </w14:solidFill>
          </w14:textFill>
        </w:rPr>
        <w:t>ç</w:t>
      </w:r>
      <w:r>
        <w:rPr>
          <w:rStyle w:val="None"/>
          <w:rFonts w:ascii="Verdana" w:hAnsi="Verdana"/>
          <w:b w:val="1"/>
          <w:bCs w:val="1"/>
          <w:i w:val="0"/>
          <w:iCs w:val="0"/>
          <w:outline w:val="0"/>
          <w:color w:val="282828"/>
          <w:sz w:val="18"/>
          <w:szCs w:val="18"/>
          <w:rtl w:val="0"/>
          <w:lang w:val="en-US"/>
          <w14:textFill>
            <w14:solidFill>
              <w14:srgbClr w14:val="292929"/>
            </w14:solidFill>
          </w14:textFill>
        </w:rPr>
        <w:t>ois Rieger, PhD, Chairman and CEO, BioSenic said:</w:t>
      </w:r>
      <w:r>
        <w:rPr>
          <w:rStyle w:val="None"/>
          <w:rFonts w:ascii="Verdana" w:hAnsi="Verdana"/>
          <w:i w:val="0"/>
          <w:iCs w:val="0"/>
          <w:outline w:val="0"/>
          <w:color w:val="282828"/>
          <w:sz w:val="18"/>
          <w:szCs w:val="18"/>
          <w:rtl w:val="0"/>
          <w14:textFill>
            <w14:solidFill>
              <w14:srgbClr w14:val="292929"/>
            </w14:solidFill>
          </w14:textFill>
        </w:rPr>
        <w:t xml:space="preserve"> </w:t>
      </w:r>
      <w:r>
        <w:rPr>
          <w:rFonts w:ascii="Verdana" w:hAnsi="Verdana"/>
          <w:i w:val="1"/>
          <w:iCs w:val="1"/>
          <w:outline w:val="0"/>
          <w:color w:val="282828"/>
          <w:sz w:val="18"/>
          <w:szCs w:val="18"/>
          <w:rtl w:val="0"/>
          <w:lang w:val="en-US"/>
          <w14:textFill>
            <w14:solidFill>
              <w14:srgbClr w14:val="292929"/>
            </w14:solidFill>
          </w14:textFill>
        </w:rPr>
        <w:t>"BioSenic is now focusing on the final preparations for its phase 3 trial with ATO targeting chronic Graft-versus-Host Disease, one of the most common complications affecting survival of allogeneic hematopoietic stem cell transplantation patients. It is also essential that BioSenic continues to pave the way for clinical progression of its ATO programs to treat Systemic Lupus Erythematosus and systemic sclerosis. These new pre-clinical data add to the raft of in vitro and in vivo experimental data generated by BioSenic, by the scientific community and across the industry, supporting the potential of arsenic salt medication in correcting the pathophysiological parameters of the immune system gone awry in a number of autoimmune diseases. These results demonstrate the potential of ATO on the cellular characteristics of damaged organs, with chronic and aggravating functional abnormalities. This will provide invaluable knowledge for BioSenic</w:t>
      </w:r>
      <w:r>
        <w:rPr>
          <w:rFonts w:ascii="Verdana" w:hAnsi="Verdana" w:hint="default"/>
          <w:i w:val="1"/>
          <w:iCs w:val="1"/>
          <w:outline w:val="0"/>
          <w:color w:val="282828"/>
          <w:sz w:val="18"/>
          <w:szCs w:val="18"/>
          <w:rtl w:val="1"/>
          <w14:textFill>
            <w14:solidFill>
              <w14:srgbClr w14:val="292929"/>
            </w14:solidFill>
          </w14:textFill>
        </w:rPr>
        <w:t>’</w:t>
      </w:r>
      <w:r>
        <w:rPr>
          <w:rFonts w:ascii="Verdana" w:hAnsi="Verdana"/>
          <w:i w:val="1"/>
          <w:iCs w:val="1"/>
          <w:outline w:val="0"/>
          <w:color w:val="282828"/>
          <w:sz w:val="18"/>
          <w:szCs w:val="18"/>
          <w:rtl w:val="0"/>
          <w:lang w:val="en-US"/>
          <w14:textFill>
            <w14:solidFill>
              <w14:srgbClr w14:val="292929"/>
            </w14:solidFill>
          </w14:textFill>
        </w:rPr>
        <w:t>s ATO application and formulation for the ongoing clinical development, and further contribute towards the future success of ATO</w:t>
      </w:r>
      <w:r>
        <w:rPr>
          <w:rFonts w:ascii="Verdana" w:hAnsi="Verdana" w:hint="default"/>
          <w:i w:val="1"/>
          <w:iCs w:val="1"/>
          <w:outline w:val="0"/>
          <w:color w:val="282828"/>
          <w:sz w:val="18"/>
          <w:szCs w:val="18"/>
          <w:rtl w:val="1"/>
          <w14:textFill>
            <w14:solidFill>
              <w14:srgbClr w14:val="292929"/>
            </w14:solidFill>
          </w14:textFill>
        </w:rPr>
        <w:t>’</w:t>
      </w:r>
      <w:r>
        <w:rPr>
          <w:rFonts w:ascii="Verdana" w:hAnsi="Verdana"/>
          <w:i w:val="1"/>
          <w:iCs w:val="1"/>
          <w:outline w:val="0"/>
          <w:color w:val="282828"/>
          <w:sz w:val="18"/>
          <w:szCs w:val="18"/>
          <w:rtl w:val="0"/>
          <w:lang w:val="en-US"/>
          <w14:textFill>
            <w14:solidFill>
              <w14:srgbClr w14:val="292929"/>
            </w14:solidFill>
          </w14:textFill>
        </w:rPr>
        <w:t>s late-stage clinical development. Compounded observations, both widely published and collected in various international studies, fully justify the initiation of trials on SSc patients, in need of new and decisive medications, other than existing palliative ones. The hope for success is high and BioSenic is working hard in translating the present fundamental results into real therapeutic advances with the necessary help of available international funding.</w:t>
      </w:r>
      <w:r>
        <w:rPr>
          <w:rFonts w:ascii="Verdana" w:hAnsi="Verdana" w:hint="default"/>
          <w:i w:val="1"/>
          <w:iCs w:val="1"/>
          <w:outline w:val="0"/>
          <w:color w:val="282828"/>
          <w:sz w:val="18"/>
          <w:szCs w:val="18"/>
          <w:rtl w:val="0"/>
          <w14:textFill>
            <w14:solidFill>
              <w14:srgbClr w14:val="292929"/>
            </w14:solidFill>
          </w14:textFill>
        </w:rPr>
        <w:t>”</w:t>
      </w:r>
    </w:p>
    <w:p>
      <w:pPr>
        <w:pStyle w:val="Table Style 2"/>
        <w:bidi w:val="0"/>
        <w:ind w:left="0" w:right="0" w:firstLine="0"/>
        <w:jc w:val="left"/>
        <w:rPr>
          <w:rStyle w:val="None"/>
          <w:rFonts w:ascii="Verdana" w:cs="Verdana" w:hAnsi="Verdana" w:eastAsia="Verdana"/>
          <w:b w:val="0"/>
          <w:bCs w:val="0"/>
          <w:outline w:val="0"/>
          <w:color w:val="282828"/>
          <w:sz w:val="18"/>
          <w:szCs w:val="18"/>
          <w:rtl w:val="0"/>
          <w14:textFill>
            <w14:solidFill>
              <w14:srgbClr w14:val="292929"/>
            </w14:solidFill>
          </w14:textFill>
        </w:rPr>
      </w:pPr>
      <w:r>
        <w:rPr>
          <w:rFonts w:ascii="Verdana" w:hAnsi="Verdana" w:hint="default"/>
          <w:b w:val="1"/>
          <w:bCs w:val="1"/>
          <w:outline w:val="0"/>
          <w:color w:val="282828"/>
          <w:sz w:val="18"/>
          <w:szCs w:val="18"/>
          <w:rtl w:val="0"/>
          <w14:textFill>
            <w14:solidFill>
              <w14:srgbClr w14:val="292929"/>
            </w14:solidFill>
          </w14:textFill>
        </w:rPr>
        <w:t> </w:t>
      </w:r>
    </w:p>
    <w:p>
      <w:pPr>
        <w:pStyle w:val="Table Style 2"/>
        <w:bidi w:val="0"/>
        <w:ind w:left="0" w:right="0" w:firstLine="0"/>
        <w:jc w:val="left"/>
        <w:rPr>
          <w:rStyle w:val="None"/>
          <w:rFonts w:ascii="Verdana" w:cs="Verdana" w:hAnsi="Verdana" w:eastAsia="Verdana"/>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About BioSenic</w:t>
      </w:r>
    </w:p>
    <w:p>
      <w:pPr>
        <w:pStyle w:val="Table Style 2"/>
        <w:bidi w:val="0"/>
        <w:ind w:left="0" w:right="0" w:firstLine="0"/>
        <w:jc w:val="left"/>
        <w:rPr>
          <w:rFonts w:ascii="Verdana" w:cs="Verdana" w:hAnsi="Verdana" w:eastAsia="Verdana"/>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BioSenic is a leading biotech company specializing in the development of clinical assets issued from: (i) the arsenic trioxide (ATO) platform (with key target indications including Graft-versus-Host Disease (GvHD), systemic lupus erythematosus (SLE) and systemic sclerosis (SSc) and (ii), the development of innovative products to meet unmet needs in orthopedics.</w:t>
      </w:r>
    </w:p>
    <w:p>
      <w:pPr>
        <w:pStyle w:val="Table Style 2"/>
        <w:bidi w:val="0"/>
        <w:ind w:left="0" w:right="0" w:firstLine="0"/>
        <w:jc w:val="left"/>
        <w:rPr>
          <w:rFonts w:ascii="Verdana" w:cs="Verdana" w:hAnsi="Verdana" w:eastAsia="Verdana"/>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Following a reverse merger in October 2022, BioSenic combined a strategic positionings and strengths to use, separately and combined, an entirely new arsenal of various anti-inflammatory and anti-autoimmune formulations using the immunomodulatory properties of ATO/oral ATO (OATO) with its innovative cell therapy platform and strong IP for tissue repair protection.</w:t>
      </w:r>
    </w:p>
    <w:p>
      <w:pPr>
        <w:pStyle w:val="Table Style 2"/>
        <w:bidi w:val="0"/>
        <w:ind w:left="0" w:right="0" w:firstLine="0"/>
        <w:jc w:val="left"/>
        <w:rPr>
          <w:rFonts w:ascii="Verdana" w:cs="Verdana" w:hAnsi="Verdana" w:eastAsia="Verdana"/>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BioSenic is based in the Louvain-la-Neuve Science Park in Mont-Saint-Guibert, Belgium. Further information is available at</w:t>
      </w:r>
      <w:r>
        <w:rPr>
          <w:rStyle w:val="None"/>
          <w:rFonts w:ascii="Verdana" w:hAnsi="Verdana"/>
          <w:b w:val="1"/>
          <w:bCs w:val="1"/>
          <w:outline w:val="0"/>
          <w:color w:val="282828"/>
          <w:sz w:val="18"/>
          <w:szCs w:val="18"/>
          <w:rtl w:val="0"/>
          <w14:textFill>
            <w14:solidFill>
              <w14:srgbClr w14:val="292929"/>
            </w14:solidFill>
          </w14:textFill>
        </w:rPr>
        <w:t xml:space="preserve"> </w:t>
      </w:r>
      <w:r>
        <w:rPr>
          <w:rStyle w:val="Hyperlink.2"/>
          <w:rFonts w:ascii="Verdana" w:cs="Verdana" w:hAnsi="Verdana" w:eastAsia="Verdana"/>
          <w:outline w:val="0"/>
          <w:color w:val="282828"/>
          <w:sz w:val="18"/>
          <w:szCs w:val="18"/>
          <w:rtl w:val="0"/>
          <w14:textFill>
            <w14:solidFill>
              <w14:srgbClr w14:val="292929"/>
            </w14:solidFill>
          </w14:textFill>
        </w:rPr>
        <w:fldChar w:fldCharType="begin" w:fldLock="0"/>
      </w:r>
      <w:r>
        <w:rPr>
          <w:rStyle w:val="Hyperlink.2"/>
          <w:rFonts w:ascii="Verdana" w:cs="Verdana" w:hAnsi="Verdana" w:eastAsia="Verdana"/>
          <w:outline w:val="0"/>
          <w:color w:val="282828"/>
          <w:sz w:val="18"/>
          <w:szCs w:val="18"/>
          <w:rtl w:val="0"/>
          <w14:textFill>
            <w14:solidFill>
              <w14:srgbClr w14:val="292929"/>
            </w14:solidFill>
          </w14:textFill>
        </w:rPr>
        <w:instrText xml:space="preserve"> HYPERLINK "https://click.agilitypr.delivery/ls/click?upn=x0SJT0-2BQwcXxaFugdr-2BQ6UgjaGvM9R9fm1wAZv7HFwIlftG4McXpfbrDmpccS0BEIgfA_0v1WfzW3RyCyUmxOPcTd72nhp2tUCWdxq-2BDfwFXst-2F2aCPEFEoG1XfVfIkfPiSy0mEjkyHBzVnFoAkbS-2F5layN7jb3jKt4t-2B7PUlBuPd8oa2iV0KJeK-2FlzJP8b-2Fe3PPgaZFVyn095QOxJQgxJkgWBysV0HCvCygBn7Au6rim5NJEEc00Q-2Bkw-2FIvvsggZVKiizW3aa1qOiWVcNUF6OXha1P4ymeBbUFBWxdH-2BPvIYvR2PYna-2FJ-2FXFsKLoIsyYj8AINL8n7YN5TIQo7L2wfRStRLOdt3UZBVe-2BJ0RCJrxDXL9GNff-2FCFeZd-2BsGdzO6wUYzoc3Ak4R0ecfOE2Nw0mWGZp5b-2F6NKJSbB-2F37Pu82Vts-2B7-2BwBt6HfQ4q85pUnGQg4g44nvijMd9EKjfg42pDUR6ChKwCPD7JbtgSsxCZrHYRrkvnAPYy8e5XVpMKoDfEgCPnOBzlnZYMfBT2Lk2xLIPA-3D-3D"</w:instrText>
      </w:r>
      <w:r>
        <w:rPr>
          <w:rStyle w:val="Hyperlink.2"/>
          <w:rFonts w:ascii="Verdana" w:cs="Verdana" w:hAnsi="Verdana" w:eastAsia="Verdana"/>
          <w:outline w:val="0"/>
          <w:color w:val="282828"/>
          <w:sz w:val="18"/>
          <w:szCs w:val="18"/>
          <w:rtl w:val="0"/>
          <w14:textFill>
            <w14:solidFill>
              <w14:srgbClr w14:val="292929"/>
            </w14:solidFill>
          </w14:textFill>
        </w:rPr>
        <w:fldChar w:fldCharType="separate" w:fldLock="0"/>
      </w:r>
      <w:r>
        <w:rPr>
          <w:rStyle w:val="Hyperlink.2"/>
          <w:rFonts w:ascii="Verdana" w:hAnsi="Verdana"/>
          <w:outline w:val="0"/>
          <w:color w:val="282828"/>
          <w:sz w:val="18"/>
          <w:szCs w:val="18"/>
          <w:rtl w:val="0"/>
          <w:lang w:val="en-US"/>
          <w14:textFill>
            <w14:solidFill>
              <w14:srgbClr w14:val="292929"/>
            </w14:solidFill>
          </w14:textFill>
        </w:rPr>
        <w:t>http://www.biosenic.com</w:t>
      </w:r>
      <w:r>
        <w:rPr>
          <w:rFonts w:ascii="Verdana" w:cs="Verdana" w:hAnsi="Verdana" w:eastAsia="Verdana"/>
          <w:outline w:val="0"/>
          <w:color w:val="282828"/>
          <w:sz w:val="18"/>
          <w:szCs w:val="18"/>
          <w:rtl w:val="0"/>
          <w14:textFill>
            <w14:solidFill>
              <w14:srgbClr w14:val="292929"/>
            </w14:solidFill>
          </w14:textFill>
        </w:rPr>
        <w:fldChar w:fldCharType="end" w:fldLock="0"/>
      </w:r>
      <w:r>
        <w:rPr>
          <w:rFonts w:ascii="Verdana" w:hAnsi="Verdana"/>
          <w:outline w:val="0"/>
          <w:color w:val="282828"/>
          <w:sz w:val="18"/>
          <w:szCs w:val="18"/>
          <w:rtl w:val="0"/>
          <w14:textFill>
            <w14:solidFill>
              <w14:srgbClr w14:val="292929"/>
            </w14:solidFill>
          </w14:textFill>
        </w:rPr>
        <w:t>.</w:t>
      </w:r>
    </w:p>
    <w:p>
      <w:pPr>
        <w:pStyle w:val="Table Style 2"/>
        <w:bidi w:val="0"/>
        <w:ind w:left="0" w:right="0" w:firstLine="0"/>
        <w:jc w:val="left"/>
        <w:rPr>
          <w:rStyle w:val="None"/>
          <w:rFonts w:ascii="Verdana" w:cs="Verdana" w:hAnsi="Verdana" w:eastAsia="Verdana"/>
          <w:b w:val="0"/>
          <w:bCs w:val="0"/>
          <w:i w:val="0"/>
          <w:iCs w:val="0"/>
          <w:outline w:val="0"/>
          <w:color w:val="282828"/>
          <w:sz w:val="18"/>
          <w:szCs w:val="18"/>
          <w:rtl w:val="0"/>
          <w14:textFill>
            <w14:solidFill>
              <w14:srgbClr w14:val="292929"/>
            </w14:solidFill>
          </w14:textFill>
        </w:rPr>
      </w:pPr>
      <w:r>
        <w:rPr>
          <w:rFonts w:ascii="Verdana" w:hAnsi="Verdana" w:hint="default"/>
          <w:b w:val="1"/>
          <w:bCs w:val="1"/>
          <w:i w:val="1"/>
          <w:iCs w:val="1"/>
          <w:outline w:val="0"/>
          <w:color w:val="282828"/>
          <w:sz w:val="18"/>
          <w:szCs w:val="18"/>
          <w:rtl w:val="0"/>
          <w14:textFill>
            <w14:solidFill>
              <w14:srgbClr w14:val="292929"/>
            </w14:solidFill>
          </w14:textFill>
        </w:rPr>
        <w:t> </w:t>
      </w:r>
    </w:p>
    <w:p>
      <w:pPr>
        <w:pStyle w:val="Table Style 2"/>
        <w:bidi w:val="0"/>
        <w:ind w:left="0" w:right="0" w:firstLine="0"/>
        <w:jc w:val="left"/>
        <w:rPr>
          <w:rStyle w:val="None"/>
          <w:rFonts w:ascii="Verdana" w:cs="Verdana" w:hAnsi="Verdana" w:eastAsia="Verdana"/>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About BioSenic technology platforms</w:t>
      </w:r>
    </w:p>
    <w:p>
      <w:pPr>
        <w:pStyle w:val="Table Style 2"/>
        <w:bidi w:val="0"/>
        <w:ind w:left="0" w:right="0" w:firstLine="0"/>
        <w:jc w:val="left"/>
        <w:rPr>
          <w:rFonts w:ascii="Verdana" w:cs="Verdana" w:hAnsi="Verdana" w:eastAsia="Verdana"/>
          <w:outline w:val="0"/>
          <w:color w:val="282828"/>
          <w:sz w:val="18"/>
          <w:szCs w:val="18"/>
          <w:rtl w:val="0"/>
          <w14:textFill>
            <w14:solidFill>
              <w14:srgbClr w14:val="292929"/>
            </w14:solidFill>
          </w14:textFill>
        </w:rPr>
      </w:pPr>
      <w:r>
        <w:rPr>
          <w:rFonts w:ascii="Verdana" w:hAnsi="Verdana"/>
          <w:outline w:val="0"/>
          <w:color w:val="282828"/>
          <w:sz w:val="18"/>
          <w:szCs w:val="18"/>
          <w:rtl w:val="0"/>
          <w:lang w:val="it-IT"/>
          <w14:textFill>
            <w14:solidFill>
              <w14:srgbClr w14:val="292929"/>
            </w14:solidFill>
          </w14:textFill>
        </w:rPr>
        <w:t>BioSenic</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technology is based on two main platforms:</w:t>
      </w:r>
    </w:p>
    <w:p>
      <w:pPr>
        <w:pStyle w:val="Table Style 2"/>
        <w:bidi w:val="0"/>
        <w:ind w:left="0" w:right="0" w:firstLine="0"/>
        <w:jc w:val="left"/>
        <w:rPr>
          <w:rFonts w:ascii="Verdana" w:cs="Verdana" w:hAnsi="Verdana" w:eastAsia="Verdana"/>
          <w:outline w:val="0"/>
          <w:color w:val="282828"/>
          <w:sz w:val="18"/>
          <w:szCs w:val="18"/>
          <w:rtl w:val="0"/>
          <w14:textFill>
            <w14:solidFill>
              <w14:srgbClr w14:val="292929"/>
            </w14:solidFill>
          </w14:textFill>
        </w:rPr>
      </w:pPr>
      <w:r>
        <w:rPr>
          <w:rFonts w:ascii="Verdana" w:hAnsi="Verdana"/>
          <w:outline w:val="0"/>
          <w:color w:val="282828"/>
          <w:sz w:val="18"/>
          <w:szCs w:val="18"/>
          <w:rtl w:val="0"/>
          <w14:textFill>
            <w14:solidFill>
              <w14:srgbClr w14:val="292929"/>
            </w14:solidFill>
          </w14:textFill>
        </w:rPr>
        <w:t>1)</w:t>
      </w:r>
      <w:r>
        <w:rPr>
          <w:rFonts w:ascii="Verdana" w:hAnsi="Verdana" w:hint="default"/>
          <w:outline w:val="0"/>
          <w:color w:val="282828"/>
          <w:sz w:val="18"/>
          <w:szCs w:val="18"/>
          <w:rtl w:val="0"/>
          <w14:textFill>
            <w14:solidFill>
              <w14:srgbClr w14:val="292929"/>
            </w14:solidFill>
          </w14:textFill>
        </w:rPr>
        <w:t>     </w:t>
      </w:r>
      <w:r>
        <w:rPr>
          <w:rFonts w:ascii="Verdana" w:hAnsi="Verdana"/>
          <w:outline w:val="0"/>
          <w:color w:val="282828"/>
          <w:sz w:val="18"/>
          <w:szCs w:val="18"/>
          <w:rtl w:val="0"/>
          <w:lang w:val="en-US"/>
          <w14:textFill>
            <w14:solidFill>
              <w14:srgbClr w14:val="292929"/>
            </w14:solidFill>
          </w14:textFill>
        </w:rPr>
        <w:t>The ATO platform, which has been successfully developed, has immunomodulatory properties with fundamental effects on the activated cells of the immune system. The first effect is the increase of the cell oxidative stress in activated B, T and other cells of the innate/adaptative immune system to the point they will enter a cell death program (apoptosis) and be eliminated. The second effect is potent immunomodulatory properties on several cytokines involved in inflammatory or autoimmune cell pathways, with return to homeostasis. One direct application is its use in onco-immunology to treat GvHD (Graft-versus-Host Disease) in its chronic, established stage. cGvHD is one of the most common and clinically significant complications affecting long-term survival of allogeneic hematopoietic stem cell transplantation (allo-HSCT). cGvHD is primarily mediated by the transplanted immune cells that can lead to severe multiorgan damage. BioSenic has been successful in a Phase 2 trial with its intravenous formulation, which has orphan drug designation status by FDA and EMA. The Company is heading towards an international Phase 3 confirmatory study, with its new, IP-protected, OATO formulation. Another selected target is moderate-to-severe forms of systemic lupus erythematosus (SLE), using the same oral formulation. ATO has shown good safety and significant clinical efficacy on several affected organs (skin, mucosae and the gastrointestinal tract) in an early Phase 2a study. Systemic sclerosis is also part of the clinical pipeline of BioSenic. This serious chronic disease badly affects skin, lungs or vascularization, and has no actual current effective treatment. Preclinical studies on pertinent animal models are positive, giving good grounds to launch a Phase 2 clinical protocol.</w:t>
      </w: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left"/>
        <w:rPr>
          <w:rFonts w:ascii="Verdana" w:cs="Verdana" w:hAnsi="Verdana" w:eastAsia="Verdana"/>
          <w:outline w:val="0"/>
          <w:color w:val="282828"/>
          <w:sz w:val="18"/>
          <w:szCs w:val="18"/>
          <w:rtl w:val="0"/>
          <w14:textFill>
            <w14:solidFill>
              <w14:srgbClr w14:val="292929"/>
            </w14:solidFill>
          </w14:textFill>
        </w:rPr>
      </w:pPr>
      <w:r>
        <w:rPr>
          <w:rFonts w:ascii="Verdana" w:hAnsi="Verdana"/>
          <w:outline w:val="0"/>
          <w:color w:val="282828"/>
          <w:sz w:val="18"/>
          <w:szCs w:val="18"/>
          <w:rtl w:val="0"/>
          <w14:textFill>
            <w14:solidFill>
              <w14:srgbClr w14:val="292929"/>
            </w14:solidFill>
          </w14:textFill>
        </w:rPr>
        <w:t>2)</w:t>
      </w:r>
      <w:r>
        <w:rPr>
          <w:rFonts w:ascii="Verdana" w:hAnsi="Verdana" w:hint="default"/>
          <w:outline w:val="0"/>
          <w:color w:val="282828"/>
          <w:sz w:val="18"/>
          <w:szCs w:val="18"/>
          <w:rtl w:val="0"/>
          <w14:textFill>
            <w14:solidFill>
              <w14:srgbClr w14:val="292929"/>
            </w14:solidFill>
          </w14:textFill>
        </w:rPr>
        <w:t>     </w:t>
      </w:r>
      <w:r>
        <w:rPr>
          <w:rFonts w:ascii="Verdana" w:hAnsi="Verdana"/>
          <w:outline w:val="0"/>
          <w:color w:val="282828"/>
          <w:sz w:val="18"/>
          <w:szCs w:val="18"/>
          <w:rtl w:val="0"/>
          <w:lang w:val="en-US"/>
          <w14:textFill>
            <w14:solidFill>
              <w14:srgbClr w14:val="292929"/>
            </w14:solidFill>
          </w14:textFill>
        </w:rPr>
        <w:t>The allogeneic cell and gene therapy platform developed by BioSenic, with differentiated bone marrow sourced Mesenchymal Stromal Cells (MSCs), which can be stored at the point of use in hospitals. ALLOB represents a unique and proprietary approach to organ repair and specifically to bone regeneration, by turning undifferentiated stromal cells from healthy donors into bone-forming cells on the site of injury. ALLOB has recently been evaluated in a randomized, double-blind, placebo-controlled Phase 2b study in patients with high-risk tibial fractures, using its optimized production process, after a successful first safety and efficacy study (Phase 1/2a) on fractured long bones, with late-delayed union. However, in June 2023, BioSenic decided to suspend its interventional trial on fracture healing using ALLOB, following negative results obtained for the primary endpoint in this exploratory Phase 2b clinical trial, interpreted as a failure of a too early cell injection, just after fracture. BioSenic is now focusing on determining the best time to optimise the efficacy of ALLOB (choice between early or late treatment).</w:t>
      </w:r>
    </w:p>
    <w:p>
      <w:pPr>
        <w:pStyle w:val="Table Style 2"/>
        <w:bidi w:val="0"/>
        <w:ind w:left="0" w:right="0" w:firstLine="0"/>
        <w:jc w:val="left"/>
        <w:rPr>
          <w:rFonts w:ascii="Verdana" w:cs="Verdana" w:hAnsi="Verdana" w:eastAsia="Verdana"/>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Note: Biosenic has reevaluated a previous important and years-long clinical development program. In March 2023, after the clinical identification of distinct OA subtypes, BioSenic delivered a new post-hoc analysis of its Phase 3 JTA-004 trial on knee OA, demonstrating positive action on the most severely affected patient subpopulation. This new post-hoc analysis drastically changes the therapeutic profile of the combined components and allows for better patient targeting in future clinical developments. This leads to a next generation of JTA, off-the-shelf enhanced viscosupplement to treat knee osteoarthritis (OA), made of a unique combination of mammalian plasma proteins, derivatives of hyaluronic acid (a natural component of synovial fluid in the knee) and a third active component. JTA or some derivatives are intended to provide effective lubrication and protection to the cartilage of the arthritic joint and to alleviate osteoarthritic (OA) pain and inflammation.</w:t>
      </w: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left"/>
        <w:rPr>
          <w:rFonts w:ascii="Verdana" w:cs="Verdana" w:hAnsi="Verdana" w:eastAsia="Verdana"/>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The company, will nevertheless focus its present R&amp;D and clinical activities on a selective, accelerated development of its autoimmune (ATO/OATO) platform.</w:t>
      </w:r>
    </w:p>
    <w:p>
      <w:pPr>
        <w:pStyle w:val="Table Style 2"/>
        <w:bidi w:val="0"/>
        <w:ind w:left="0" w:right="0" w:firstLine="0"/>
        <w:jc w:val="left"/>
        <w:rPr>
          <w:rStyle w:val="None"/>
          <w:rFonts w:ascii="Verdana" w:cs="Verdana" w:hAnsi="Verdana" w:eastAsia="Verdana"/>
          <w:i w:val="0"/>
          <w:iCs w:val="0"/>
          <w:outline w:val="0"/>
          <w:color w:val="282828"/>
          <w:sz w:val="18"/>
          <w:szCs w:val="18"/>
          <w:rtl w:val="0"/>
          <w14:textFill>
            <w14:solidFill>
              <w14:srgbClr w14:val="292929"/>
            </w14:solidFill>
          </w14:textFill>
        </w:rPr>
      </w:pPr>
      <w:r>
        <w:rPr>
          <w:rFonts w:ascii="Verdana" w:hAnsi="Verdana" w:hint="default"/>
          <w:i w:val="1"/>
          <w:iCs w:val="1"/>
          <w:outline w:val="0"/>
          <w:color w:val="282828"/>
          <w:sz w:val="18"/>
          <w:szCs w:val="18"/>
          <w:rtl w:val="0"/>
          <w14:textFill>
            <w14:solidFill>
              <w14:srgbClr w14:val="292929"/>
            </w14:solidFill>
          </w14:textFill>
        </w:rPr>
        <w:t>  </w:t>
      </w:r>
    </w:p>
    <w:p>
      <w:pPr>
        <w:pStyle w:val="Table Style 2"/>
        <w:bidi w:val="0"/>
        <w:ind w:left="0" w:right="0" w:firstLine="0"/>
        <w:jc w:val="both"/>
        <w:rPr>
          <w:rtl w:val="0"/>
        </w:rPr>
      </w:pPr>
      <w:r>
        <w:rPr>
          <w:rFonts w:ascii="Verdana" w:hAnsi="Verdana"/>
          <w:i w:val="1"/>
          <w:iCs w:val="1"/>
          <w:outline w:val="0"/>
          <w:color w:val="282828"/>
          <w:sz w:val="18"/>
          <w:szCs w:val="18"/>
          <w:rtl w:val="0"/>
          <w:lang w:val="en-US"/>
          <w14:textFill>
            <w14:solidFill>
              <w14:srgbClr w14:val="292929"/>
            </w14:solidFill>
          </w14:textFill>
        </w:rPr>
        <w:t>Certain statements, beliefs and opinions in this press release are forward-looking, which reflect the Company or, as appropriate, the Company directors</w:t>
      </w:r>
      <w:r>
        <w:rPr>
          <w:rFonts w:ascii="Verdana" w:hAnsi="Verdana" w:hint="default"/>
          <w:i w:val="1"/>
          <w:iCs w:val="1"/>
          <w:outline w:val="0"/>
          <w:color w:val="282828"/>
          <w:sz w:val="18"/>
          <w:szCs w:val="18"/>
          <w:rtl w:val="1"/>
          <w14:textFill>
            <w14:solidFill>
              <w14:srgbClr w14:val="292929"/>
            </w14:solidFill>
          </w14:textFill>
        </w:rPr>
        <w:t xml:space="preserve">’ </w:t>
      </w:r>
      <w:r>
        <w:rPr>
          <w:rFonts w:ascii="Verdana" w:hAnsi="Verdana"/>
          <w:i w:val="1"/>
          <w:iCs w:val="1"/>
          <w:outline w:val="0"/>
          <w:color w:val="282828"/>
          <w:sz w:val="18"/>
          <w:szCs w:val="18"/>
          <w:rtl w:val="0"/>
          <w:lang w:val="en-US"/>
          <w14:textFill>
            <w14:solidFill>
              <w14:srgbClr w14:val="292929"/>
            </w14:solidFill>
          </w14:textFill>
        </w:rPr>
        <w:t>current expectations and projections about future events. By their nature, forward-looking statements involve a number of risks, uncertainties and assumptions that could cause actual results or events to differ materially from those expressed or implied by the forward-looking statements. These risks, uncertainties and assumptions could adversely affect the outcome and financial effects of the plans and events described herein. A multitude of factors including, but not limited to, changes in demand, competition and technology, can cause actual events, performance or results to differ significantly from any anticipated development. Forward looking statements contained in this press release regarding past trends or activities should not be taken as a representation that such trends or activities will continue in the future. As a result, the Company expressly disclaims any obligation or undertaking to release any update or revisions to any forward-looking statements in this press release as a result of any change in expectations or any change in events, conditions, assumptions or circumstances on which these forward-looking statements are based. Neither the Company nor its advisers or representatives nor any of its subsidiary undertakings or any such person</w:t>
      </w:r>
      <w:r>
        <w:rPr>
          <w:rFonts w:ascii="Verdana" w:hAnsi="Verdana" w:hint="default"/>
          <w:i w:val="1"/>
          <w:iCs w:val="1"/>
          <w:outline w:val="0"/>
          <w:color w:val="282828"/>
          <w:sz w:val="18"/>
          <w:szCs w:val="18"/>
          <w:rtl w:val="1"/>
          <w14:textFill>
            <w14:solidFill>
              <w14:srgbClr w14:val="292929"/>
            </w14:solidFill>
          </w14:textFill>
        </w:rPr>
        <w:t>’</w:t>
      </w:r>
      <w:r>
        <w:rPr>
          <w:rFonts w:ascii="Verdana" w:hAnsi="Verdana"/>
          <w:i w:val="1"/>
          <w:iCs w:val="1"/>
          <w:outline w:val="0"/>
          <w:color w:val="282828"/>
          <w:sz w:val="18"/>
          <w:szCs w:val="18"/>
          <w:rtl w:val="0"/>
          <w:lang w:val="en-US"/>
          <w14:textFill>
            <w14:solidFill>
              <w14:srgbClr w14:val="292929"/>
            </w14:solidFill>
          </w14:textFill>
        </w:rPr>
        <w:t>s officers or employees guarantees that the assumptions underlying such forward-looking statements are free from errors nor does either accept any responsibility for the future accuracy of the forward-looking statements contained in this press release or the actual occurrence of the forecasted developments. You should not place undue reliance on forward-looking statements, which speak only as of the date of this press release.</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u w:val="none"/>
    </w:rPr>
  </w:style>
  <w:style w:type="character" w:styleId="None">
    <w:name w:val="None"/>
  </w:style>
  <w:style w:type="character" w:styleId="Hyperlink.1">
    <w:name w:val="Hyperlink.1"/>
    <w:basedOn w:val="None"/>
    <w:next w:val="Hyperlink.1"/>
    <w:rPr>
      <w:b w:val="1"/>
      <w:bCs w:val="1"/>
      <w:u w:color="0000ff"/>
    </w:rPr>
  </w:style>
  <w:style w:type="character" w:styleId="Hyperlink.2">
    <w:name w:val="Hyperlink.2"/>
    <w:basedOn w:val="None"/>
    <w:next w:val="Hyperlink.2"/>
    <w:rPr>
      <w:u w:color="0000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00000"/>
          </a:lnSpc>
          <a:spcBef>
            <a:spcPts val="0"/>
          </a:spcBef>
          <a:spcAft>
            <a:spcPts val="0"/>
          </a:spcAft>
          <a:buClrTx/>
          <a:buSzTx/>
          <a:buFontTx/>
          <a:buNone/>
          <a:tabLst/>
          <a:defRPr b="0" baseline="0" cap="none" i="0" spc="0" strike="noStrike" sz="900" u="none" kumimoji="0" normalizeH="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