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Press Release</w:t>
      </w:r>
    </w:p>
    <w:p>
      <w:pPr>
        <w:pStyle w:val="Table Style 2"/>
        <w:bidi w:val="0"/>
        <w:ind w:left="0" w:right="0" w:firstLine="0"/>
        <w:jc w:val="right"/>
        <w:rPr>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Media Contacts:</w:t>
      </w:r>
    </w:p>
    <w:p>
      <w:pPr>
        <w:pStyle w:val="Table Style 2"/>
        <w:bidi w:val="0"/>
        <w:ind w:left="0" w:right="0" w:firstLine="0"/>
        <w:jc w:val="right"/>
        <w:rPr>
          <w:rFonts w:ascii="Verdana" w:cs="Verdana" w:hAnsi="Verdana" w:eastAsia="Verdana"/>
          <w:b w:val="0"/>
          <w:bCs w:val="0"/>
          <w:outline w:val="0"/>
          <w:color w:val="282828"/>
          <w:sz w:val="18"/>
          <w:szCs w:val="18"/>
          <w:rtl w:val="0"/>
          <w14:textFill>
            <w14:solidFill>
              <w14:srgbClr w14:val="292929"/>
            </w14:solidFill>
          </w14:textFill>
        </w:rPr>
      </w:pPr>
      <w:r>
        <w:rPr>
          <w:rFonts w:ascii="Verdana" w:hAnsi="Verdana"/>
          <w:b w:val="1"/>
          <w:bCs w:val="1"/>
          <w:outline w:val="0"/>
          <w:color w:val="282828"/>
          <w:sz w:val="18"/>
          <w:szCs w:val="18"/>
          <w:rtl w:val="0"/>
          <w:lang w:val="fr-FR"/>
          <w14:textFill>
            <w14:solidFill>
              <w14:srgbClr w14:val="292929"/>
            </w14:solidFill>
          </w14:textFill>
        </w:rPr>
        <w:t>IB Communications</w:t>
      </w:r>
    </w:p>
    <w:p>
      <w:pPr>
        <w:pStyle w:val="Table Style 2"/>
        <w:bidi w:val="0"/>
        <w:ind w:left="0" w:right="0" w:firstLine="0"/>
        <w:jc w:val="right"/>
        <w:rPr>
          <w:rFonts w:ascii="Verdana" w:cs="Verdana" w:hAnsi="Verdana" w:eastAsia="Verdana"/>
          <w:outline w:val="0"/>
          <w:color w:val="282828"/>
          <w:sz w:val="18"/>
          <w:szCs w:val="18"/>
          <w:u w:color="0000ff"/>
          <w:rtl w:val="0"/>
          <w14:textFill>
            <w14:solidFill>
              <w14:srgbClr w14:val="292929"/>
            </w14:solidFill>
          </w14:textFill>
        </w:rPr>
      </w:pPr>
      <w:r>
        <w:rPr>
          <w:rFonts w:ascii="Verdana" w:hAnsi="Verdana"/>
          <w:outline w:val="0"/>
          <w:color w:val="282828"/>
          <w:sz w:val="18"/>
          <w:szCs w:val="18"/>
          <w:u w:color="0000ff"/>
          <w:rtl w:val="0"/>
          <w14:textFill>
            <w14:solidFill>
              <w14:srgbClr w14:val="292929"/>
            </w14:solidFill>
          </w14:textFill>
        </w:rPr>
        <w:t>Tel</w:t>
      </w:r>
      <w:r>
        <w:rPr>
          <w:rFonts w:ascii="Verdana" w:hAnsi="Verdana" w:hint="default"/>
          <w:outline w:val="0"/>
          <w:color w:val="282828"/>
          <w:sz w:val="18"/>
          <w:szCs w:val="18"/>
          <w:u w:color="0000ff"/>
          <w:rtl w:val="0"/>
          <w14:textFill>
            <w14:solidFill>
              <w14:srgbClr w14:val="292929"/>
            </w14:solidFill>
          </w14:textFill>
        </w:rPr>
        <w:t> </w: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rtl w:val="0"/>
          <w14:textFill>
            <w14:solidFill>
              <w14:srgbClr w14:val="292929"/>
            </w14:solidFill>
          </w14:textFill>
        </w:rPr>
        <w:instrText xml:space="preserve"> HYPERLINK "tel:+44%20(0)20%2089434685"</w:instrTex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separate" w:fldLock="0"/>
      </w:r>
      <w:r>
        <w:rPr>
          <w:rStyle w:val="Hyperlink.0"/>
          <w:rFonts w:ascii="Verdana" w:hAnsi="Verdana"/>
          <w:outline w:val="0"/>
          <w:color w:val="282828"/>
          <w:sz w:val="18"/>
          <w:szCs w:val="18"/>
          <w:u w:color="0000ff"/>
          <w:rtl w:val="0"/>
          <w14:textFill>
            <w14:solidFill>
              <w14:srgbClr w14:val="292929"/>
            </w14:solidFill>
          </w14:textFill>
        </w:rPr>
        <w:t>+44 (0)20 89434685</w:t>
      </w:r>
      <w:r>
        <w:rPr>
          <w:rFonts w:ascii="Verdana" w:cs="Verdana" w:hAnsi="Verdana" w:eastAsia="Verdana"/>
          <w:outline w:val="0"/>
          <w:color w:val="282828"/>
          <w:sz w:val="18"/>
          <w:szCs w:val="18"/>
          <w:u w:color="0000ff"/>
          <w:rtl w:val="0"/>
          <w14:textFill>
            <w14:solidFill>
              <w14:srgbClr w14:val="292929"/>
            </w14:solidFill>
          </w14:textFill>
        </w:rPr>
        <w:fldChar w:fldCharType="end" w:fldLock="0"/>
      </w:r>
    </w:p>
    <w:p>
      <w:pPr>
        <w:pStyle w:val="Table Style 2"/>
        <w:bidi w:val="0"/>
        <w:ind w:left="0" w:right="0" w:firstLine="0"/>
        <w:jc w:val="right"/>
        <w:rPr>
          <w:rFonts w:ascii="Verdana" w:cs="Verdana" w:hAnsi="Verdana" w:eastAsia="Verdana"/>
          <w:outline w:val="0"/>
          <w:color w:val="282828"/>
          <w:sz w:val="18"/>
          <w:szCs w:val="18"/>
          <w:u w:color="0000ff"/>
          <w:rtl w:val="0"/>
          <w14:textFill>
            <w14:solidFill>
              <w14:srgbClr w14:val="292929"/>
            </w14:solidFill>
          </w14:textFill>
        </w:rPr>
      </w:pP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rtl w:val="0"/>
          <w14:textFill>
            <w14:solidFill>
              <w14:srgbClr w14:val="292929"/>
            </w14:solidFill>
          </w14:textFill>
        </w:rPr>
        <w:instrText xml:space="preserve"> HYPERLINK "mailto:biosenic@ibcomms.agency"</w:instrTex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separate" w:fldLock="0"/>
      </w:r>
      <w:r>
        <w:rPr>
          <w:rStyle w:val="Hyperlink.0"/>
          <w:rFonts w:ascii="Verdana" w:hAnsi="Verdana"/>
          <w:outline w:val="0"/>
          <w:color w:val="282828"/>
          <w:sz w:val="18"/>
          <w:szCs w:val="18"/>
          <w:u w:color="0000ff"/>
          <w:rtl w:val="0"/>
          <w:lang w:val="it-IT"/>
          <w14:textFill>
            <w14:solidFill>
              <w14:srgbClr w14:val="292929"/>
            </w14:solidFill>
          </w14:textFill>
        </w:rPr>
        <w:t>organabio@ibcomms.agency</w:t>
      </w:r>
      <w:r>
        <w:rPr>
          <w:rFonts w:ascii="Verdana" w:cs="Verdana" w:hAnsi="Verdana" w:eastAsia="Verdana"/>
          <w:outline w:val="0"/>
          <w:color w:val="282828"/>
          <w:sz w:val="18"/>
          <w:szCs w:val="18"/>
          <w:u w:color="0000ff"/>
          <w:rtl w:val="0"/>
          <w14:textFill>
            <w14:solidFill>
              <w14:srgbClr w14:val="292929"/>
            </w14:solidFill>
          </w14:textFill>
        </w:rPr>
        <w:fldChar w:fldCharType="end" w:fldLock="0"/>
      </w:r>
    </w:p>
    <w:p>
      <w:pPr>
        <w:pStyle w:val="Table Style 2"/>
        <w:bidi w:val="0"/>
        <w:ind w:left="0" w:right="0" w:firstLine="0"/>
        <w:jc w:val="right"/>
        <w:rPr>
          <w:rFonts w:ascii="Verdana" w:cs="Verdana" w:hAnsi="Verdana" w:eastAsia="Verdana"/>
          <w:outline w:val="0"/>
          <w:color w:val="282828"/>
          <w:sz w:val="18"/>
          <w:szCs w:val="18"/>
          <w:u w:color="0000ff"/>
          <w:rtl w:val="0"/>
          <w14:textFill>
            <w14:solidFill>
              <w14:srgbClr w14:val="292929"/>
            </w14:solidFill>
          </w14:textFill>
        </w:rPr>
      </w:pPr>
    </w:p>
    <w:p>
      <w:pPr>
        <w:pStyle w:val="Table Style 2"/>
        <w:bidi w:val="0"/>
        <w:ind w:left="0" w:right="0" w:firstLine="0"/>
        <w:jc w:val="right"/>
        <w:rPr>
          <w:rFonts w:ascii="Verdana" w:cs="Verdana" w:hAnsi="Verdana" w:eastAsia="Verdana"/>
          <w:outline w:val="0"/>
          <w:color w:val="282828"/>
          <w:sz w:val="18"/>
          <w:szCs w:val="18"/>
          <w:u w:color="0000ff"/>
          <w:rtl w:val="0"/>
          <w14:textFill>
            <w14:solidFill>
              <w14:srgbClr w14:val="292929"/>
            </w14:solidFill>
          </w14:textFill>
        </w:rPr>
      </w:pPr>
    </w:p>
    <w:p>
      <w:pPr>
        <w:pStyle w:val="Table Style 2"/>
        <w:bidi w:val="0"/>
        <w:ind w:left="0" w:right="0" w:firstLine="0"/>
        <w:jc w:val="right"/>
        <w:rPr>
          <w:rFonts w:ascii="Verdana" w:cs="Verdana" w:hAnsi="Verdana" w:eastAsia="Verdana"/>
          <w:outline w:val="0"/>
          <w:color w:val="282828"/>
          <w:sz w:val="18"/>
          <w:szCs w:val="18"/>
          <w:u w:color="0000ff"/>
          <w:rtl w:val="0"/>
          <w14:textFill>
            <w14:solidFill>
              <w14:srgbClr w14:val="292929"/>
            </w14:solidFill>
          </w14:textFill>
        </w:rPr>
      </w:pPr>
    </w:p>
    <w:p>
      <w:pPr>
        <w:pStyle w:val="Table Style 2"/>
        <w:bidi w:val="0"/>
        <w:spacing w:after="266"/>
        <w:ind w:left="0" w:right="0" w:firstLine="0"/>
        <w:jc w:val="both"/>
        <w:rPr>
          <w:rFonts w:ascii="Verdana" w:cs="Verdana" w:hAnsi="Verdana" w:eastAsia="Verdana"/>
          <w:b w:val="1"/>
          <w:bCs w:val="1"/>
          <w:outline w:val="0"/>
          <w:color w:val="282828"/>
          <w:sz w:val="18"/>
          <w:szCs w:val="18"/>
          <w:rtl w:val="0"/>
          <w14:textFill>
            <w14:solidFill>
              <w14:srgbClr w14:val="292929"/>
            </w14:solidFill>
          </w14:textFill>
        </w:rPr>
      </w:pPr>
    </w:p>
    <w:p>
      <w:pPr>
        <w:pStyle w:val="Body"/>
        <w:widowControl w:val="1"/>
        <w:spacing w:line="276" w:lineRule="auto"/>
        <w:rPr>
          <w:b w:val="1"/>
          <w:bCs w:val="1"/>
          <w:outline w:val="0"/>
          <w:color w:val="282828"/>
          <w14:textFill>
            <w14:solidFill>
              <w14:srgbClr w14:val="292929"/>
            </w14:solidFill>
          </w14:textFill>
        </w:rPr>
      </w:pPr>
      <w:r>
        <w:rPr>
          <w:b w:val="1"/>
          <w:bCs w:val="1"/>
          <w:outline w:val="0"/>
          <w:color w:val="282828"/>
          <w:rtl w:val="0"/>
          <w:lang w:val="en-US"/>
          <w14:textFill>
            <w14:solidFill>
              <w14:srgbClr w14:val="292929"/>
            </w14:solidFill>
          </w14:textFill>
        </w:rPr>
        <w:t>OrganaBio Expands Cell and Gene Therapy Donor Base to Include Patients with Lupus, Other Autoimmune Diseases</w:t>
      </w:r>
    </w:p>
    <w:p>
      <w:pPr>
        <w:pStyle w:val="Body"/>
        <w:widowControl w:val="1"/>
        <w:spacing w:line="276" w:lineRule="auto"/>
        <w:rPr>
          <w:outline w:val="0"/>
          <w:color w:val="282828"/>
          <w14:textFill>
            <w14:solidFill>
              <w14:srgbClr w14:val="292929"/>
            </w14:solidFill>
          </w14:textFill>
        </w:rPr>
      </w:pPr>
    </w:p>
    <w:p>
      <w:pPr>
        <w:pStyle w:val="Body"/>
        <w:widowControl w:val="1"/>
        <w:numPr>
          <w:ilvl w:val="0"/>
          <w:numId w:val="2"/>
        </w:numPr>
        <w:bidi w:val="0"/>
        <w:spacing w:line="276" w:lineRule="auto"/>
        <w:ind w:right="0"/>
        <w:jc w:val="both"/>
        <w:rPr>
          <w:b w:val="1"/>
          <w:bCs w:val="1"/>
          <w:outline w:val="0"/>
          <w:color w:val="282828"/>
          <w:rtl w:val="0"/>
          <w:lang w:val="en-US"/>
          <w14:textFill>
            <w14:solidFill>
              <w14:srgbClr w14:val="292929"/>
            </w14:solidFill>
          </w14:textFill>
        </w:rPr>
      </w:pPr>
      <w:r>
        <w:rPr>
          <w:b w:val="1"/>
          <w:bCs w:val="1"/>
          <w:outline w:val="0"/>
          <w:color w:val="282828"/>
          <w:rtl w:val="0"/>
          <w:lang w:val="en-US"/>
          <w14:textFill>
            <w14:solidFill>
              <w14:srgbClr w14:val="292929"/>
            </w14:solidFill>
          </w14:textFill>
        </w:rPr>
        <w:t>OrganaBio is responding to sharply rising demand from pharmaceutical companies for donor material from patients with chronic diseases like lupus and psoriatic arthritis, to enable advanced therapies for autoimmune diseases</w:t>
      </w:r>
    </w:p>
    <w:p>
      <w:pPr>
        <w:pStyle w:val="Body"/>
        <w:widowControl w:val="1"/>
        <w:numPr>
          <w:ilvl w:val="0"/>
          <w:numId w:val="2"/>
        </w:numPr>
        <w:bidi w:val="0"/>
        <w:spacing w:line="276" w:lineRule="auto"/>
        <w:ind w:right="0"/>
        <w:jc w:val="both"/>
        <w:rPr>
          <w:b w:val="1"/>
          <w:bCs w:val="1"/>
          <w:outline w:val="0"/>
          <w:color w:val="282828"/>
          <w:rtl w:val="0"/>
          <w:lang w:val="en-US"/>
          <w14:textFill>
            <w14:solidFill>
              <w14:srgbClr w14:val="292929"/>
            </w14:solidFill>
          </w14:textFill>
        </w:rPr>
      </w:pPr>
      <w:r>
        <w:rPr>
          <w:b w:val="1"/>
          <w:bCs w:val="1"/>
          <w:outline w:val="0"/>
          <w:color w:val="282828"/>
          <w:rtl w:val="0"/>
          <w:lang w:val="en-US"/>
          <w14:textFill>
            <w14:solidFill>
              <w14:srgbClr w14:val="292929"/>
            </w14:solidFill>
          </w14:textFill>
        </w:rPr>
        <w:t>OrganaBio is now cleared to safely collect from donors with over 200 diseases and conditions, with plans to add more to increasingly support cell therapy-relevant disease areas, including cancer</w:t>
      </w:r>
    </w:p>
    <w:p>
      <w:pPr>
        <w:pStyle w:val="Body"/>
        <w:widowControl w:val="1"/>
        <w:spacing w:line="276" w:lineRule="auto"/>
        <w:rPr>
          <w:outline w:val="0"/>
          <w:color w:val="282828"/>
          <w:lang w:val="en-US"/>
          <w14:textFill>
            <w14:solidFill>
              <w14:srgbClr w14:val="292929"/>
            </w14:solidFill>
          </w14:textFill>
        </w:rPr>
      </w:pPr>
    </w:p>
    <w:p>
      <w:pPr>
        <w:pStyle w:val="Body"/>
        <w:widowControl w:val="1"/>
        <w:spacing w:line="276" w:lineRule="auto"/>
        <w:rPr>
          <w:outline w:val="0"/>
          <w:color w:val="282828"/>
          <w14:textFill>
            <w14:solidFill>
              <w14:srgbClr w14:val="292929"/>
            </w14:solidFill>
          </w14:textFill>
        </w:rPr>
      </w:pPr>
      <w:r>
        <w:rPr>
          <w:b w:val="1"/>
          <w:bCs w:val="1"/>
          <w:outline w:val="0"/>
          <w:color w:val="282828"/>
          <w:rtl w:val="0"/>
          <w:lang w:val="en-US"/>
          <w14:textFill>
            <w14:solidFill>
              <w14:srgbClr w14:val="292929"/>
            </w14:solidFill>
          </w14:textFill>
        </w:rPr>
        <w:t xml:space="preserve">Miami, Florida, September </w:t>
      </w:r>
      <w:r>
        <w:rPr>
          <w:b w:val="1"/>
          <w:bCs w:val="1"/>
          <w:outline w:val="0"/>
          <w:color w:val="282828"/>
          <w:rtl w:val="0"/>
          <w:lang w:val="en-US"/>
          <w14:textFill>
            <w14:solidFill>
              <w14:srgbClr w14:val="292929"/>
            </w14:solidFill>
          </w14:textFill>
        </w:rPr>
        <w:t>17</w:t>
      </w:r>
      <w:r>
        <w:rPr>
          <w:b w:val="1"/>
          <w:bCs w:val="1"/>
          <w:outline w:val="0"/>
          <w:color w:val="282828"/>
          <w:rtl w:val="0"/>
          <w:lang w:val="en-US"/>
          <w14:textFill>
            <w14:solidFill>
              <w14:srgbClr w14:val="292929"/>
            </w14:solidFill>
          </w14:textFill>
        </w:rPr>
        <w:t xml:space="preserve">, 2024 </w:t>
      </w:r>
      <w:r>
        <w:rPr>
          <w:b w:val="1"/>
          <w:bCs w:val="1"/>
          <w:outline w:val="0"/>
          <w:color w:val="282828"/>
          <w:rtl w:val="0"/>
          <w:lang w:val="en-US"/>
          <w14:textFill>
            <w14:solidFill>
              <w14:srgbClr w14:val="292929"/>
            </w14:solidFill>
          </w14:textFill>
        </w:rPr>
        <w:t xml:space="preserve">– </w:t>
      </w:r>
      <w:r>
        <w:rPr>
          <w:outline w:val="0"/>
          <w:color w:val="282828"/>
          <w:rtl w:val="0"/>
          <w:lang w:val="en-US"/>
          <w14:textFill>
            <w14:solidFill>
              <w14:srgbClr w14:val="292929"/>
            </w14:solidFill>
          </w14:textFill>
        </w:rPr>
        <w:t>OrganaBio, the cell and gene therapy industry</w:t>
      </w:r>
      <w:r>
        <w:rPr>
          <w:outline w:val="0"/>
          <w:color w:val="282828"/>
          <w:rtl w:val="0"/>
          <w:lang w:val="en-US"/>
          <w14:textFill>
            <w14:solidFill>
              <w14:srgbClr w14:val="292929"/>
            </w14:solidFill>
          </w14:textFill>
        </w:rPr>
        <w:t>’</w:t>
      </w:r>
      <w:r>
        <w:rPr>
          <w:outline w:val="0"/>
          <w:color w:val="282828"/>
          <w:rtl w:val="0"/>
          <w:lang w:val="en-US"/>
          <w14:textFill>
            <w14:solidFill>
              <w14:srgbClr w14:val="292929"/>
            </w14:solidFill>
          </w14:textFill>
        </w:rPr>
        <w:t>s hub for tissue sourcing, cell isolation, cryopreservation and clinical sample processing, today announced an expansion of its cell and gene therapy (CGT) starting materials donor base to include patients with over 200 diseases and conditions, including lupus and more than a dozen of the most common autoimmune diseases. The company can now provide fresh and frozen leukopaks and cells isolated from peripheral blood to clients that require patient material to develop chimeric antigen receptor (CAR)-T cell and other cellular therapies for autoimmune conditions, a fast-growing sector of the advanced therapies market.</w:t>
      </w:r>
    </w:p>
    <w:p>
      <w:pPr>
        <w:pStyle w:val="Body"/>
        <w:widowControl w:val="1"/>
        <w:spacing w:line="276" w:lineRule="auto"/>
        <w:rPr>
          <w:outline w:val="0"/>
          <w:color w:val="282828"/>
          <w14:textFill>
            <w14:solidFill>
              <w14:srgbClr w14:val="292929"/>
            </w14:solidFill>
          </w14:textFill>
        </w:rPr>
      </w:pPr>
    </w:p>
    <w:p>
      <w:pPr>
        <w:pStyle w:val="Body"/>
        <w:widowControl w:val="1"/>
        <w:spacing w:line="276" w:lineRule="auto"/>
        <w:rPr>
          <w:outline w:val="0"/>
          <w:color w:val="282828"/>
          <w14:textFill>
            <w14:solidFill>
              <w14:srgbClr w14:val="292929"/>
            </w14:solidFill>
          </w14:textFill>
        </w:rPr>
      </w:pPr>
      <w:r>
        <w:rPr>
          <w:outline w:val="0"/>
          <w:color w:val="282828"/>
          <w:rtl w:val="0"/>
          <w:lang w:val="en-US"/>
          <w14:textFill>
            <w14:solidFill>
              <w14:srgbClr w14:val="292929"/>
            </w14:solidFill>
          </w14:textFill>
        </w:rPr>
        <w:t>Following the publication of groundbreaking clinical results earlier this year</w:t>
      </w:r>
      <w:r>
        <w:rPr>
          <w:outline w:val="0"/>
          <w:color w:val="282828"/>
          <w:vertAlign w:val="superscript"/>
          <w:lang w:val="en-US"/>
          <w14:textFill>
            <w14:solidFill>
              <w14:srgbClr w14:val="292929"/>
            </w14:solidFill>
          </w14:textFill>
        </w:rPr>
        <w:endnoteReference w:id="1"/>
      </w:r>
      <w:r>
        <w:rPr>
          <w:outline w:val="0"/>
          <w:color w:val="282828"/>
          <w:rtl w:val="0"/>
          <w:lang w:val="en-US"/>
          <w14:textFill>
            <w14:solidFill>
              <w14:srgbClr w14:val="292929"/>
            </w14:solidFill>
          </w14:textFill>
        </w:rPr>
        <w:t xml:space="preserve">, excitement is building for the potential of CGTs, like CAR-T, for autoimmune diseases like systemic lupus erythematosus (SLE), systemic sclerosis, and idiopathic inflammatory myositis. Commercial CAR-T therapies have been proven to be curative for patients with blood cancers, and drugmakers have been eager to replicate that success in other areas. Until </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outline w:val="0"/>
          <w:color w:val="282828"/>
          <w:rtl w:val="0"/>
          <w:lang w:val="en-US"/>
          <w14:textFill>
            <w14:solidFill>
              <w14:srgbClr w14:val="292929"/>
            </w14:solidFill>
          </w14:textFill>
        </w:rPr>
        <w:t>now, however, developers have largely been limited to development with material from healthy donors, which can differ from cells impacted by autoimmune diseases.</w:t>
      </w:r>
    </w:p>
    <w:p>
      <w:pPr>
        <w:pStyle w:val="Body"/>
        <w:widowControl w:val="1"/>
        <w:spacing w:line="276" w:lineRule="auto"/>
        <w:rPr>
          <w:outline w:val="0"/>
          <w:color w:val="282828"/>
          <w14:textFill>
            <w14:solidFill>
              <w14:srgbClr w14:val="292929"/>
            </w14:solidFill>
          </w14:textFill>
        </w:rPr>
      </w:pPr>
    </w:p>
    <w:p>
      <w:pPr>
        <w:pStyle w:val="Body"/>
        <w:widowControl w:val="1"/>
        <w:spacing w:line="276" w:lineRule="auto"/>
        <w:rPr>
          <w:outline w:val="0"/>
          <w:color w:val="282828"/>
          <w14:textFill>
            <w14:solidFill>
              <w14:srgbClr w14:val="292929"/>
            </w14:solidFill>
          </w14:textFill>
        </w:rPr>
      </w:pPr>
      <w:r>
        <w:rPr>
          <w:outline w:val="0"/>
          <w:color w:val="282828"/>
          <w:rtl w:val="0"/>
          <w:lang w:val="en-US"/>
          <w14:textFill>
            <w14:solidFill>
              <w14:srgbClr w14:val="292929"/>
            </w14:solidFill>
          </w14:textFill>
        </w:rPr>
        <w:t>“</w:t>
      </w:r>
      <w:r>
        <w:rPr>
          <w:outline w:val="0"/>
          <w:color w:val="282828"/>
          <w:rtl w:val="0"/>
          <w:lang w:val="en-US"/>
          <w14:textFill>
            <w14:solidFill>
              <w14:srgbClr w14:val="292929"/>
            </w14:solidFill>
          </w14:textFill>
        </w:rPr>
        <w:t>Interest from major pharmaceutical companies has skyrocketed for material donated by patients with autoimmune diseases, who themselves are often eager to contribute to potential cures for diseases like theirs,</w:t>
      </w:r>
      <w:r>
        <w:rPr>
          <w:outline w:val="0"/>
          <w:color w:val="282828"/>
          <w:rtl w:val="0"/>
          <w:lang w:val="en-US"/>
          <w14:textFill>
            <w14:solidFill>
              <w14:srgbClr w14:val="292929"/>
            </w14:solidFill>
          </w14:textFill>
        </w:rPr>
        <w:t xml:space="preserve">” </w:t>
      </w:r>
      <w:r>
        <w:rPr>
          <w:outline w:val="0"/>
          <w:color w:val="282828"/>
          <w:rtl w:val="0"/>
          <w:lang w:val="en-US"/>
          <w14:textFill>
            <w14:solidFill>
              <w14:srgbClr w14:val="292929"/>
            </w14:solidFill>
          </w14:textFill>
        </w:rPr>
        <w:t xml:space="preserve">said Dr. Priya Baraniak, Chief Business Officer and Laboratory Director of OrganaBio. </w:t>
      </w:r>
      <w:r>
        <w:rPr>
          <w:outline w:val="0"/>
          <w:color w:val="282828"/>
          <w:rtl w:val="0"/>
          <w:lang w:val="en-US"/>
          <w14:textFill>
            <w14:solidFill>
              <w14:srgbClr w14:val="292929"/>
            </w14:solidFill>
          </w14:textFill>
        </w:rPr>
        <w:t>“</w:t>
      </w:r>
      <w:r>
        <w:rPr>
          <w:outline w:val="0"/>
          <w:color w:val="282828"/>
          <w:rtl w:val="0"/>
          <w:lang w:val="en-US"/>
          <w14:textFill>
            <w14:solidFill>
              <w14:srgbClr w14:val="292929"/>
            </w14:solidFill>
          </w14:textFill>
        </w:rPr>
        <w:t>Safely collecting cells from patients with serious illnesses like lupus and rheumatoid arthritis will unlock the next wave of cell therapies. That</w:t>
      </w:r>
      <w:r>
        <w:rPr>
          <w:outline w:val="0"/>
          <w:color w:val="282828"/>
          <w:rtl w:val="0"/>
          <w:lang w:val="en-US"/>
          <w14:textFill>
            <w14:solidFill>
              <w14:srgbClr w14:val="292929"/>
            </w14:solidFill>
          </w14:textFill>
        </w:rPr>
        <w:t>’</w:t>
      </w:r>
      <w:r>
        <w:rPr>
          <w:outline w:val="0"/>
          <w:color w:val="282828"/>
          <w:rtl w:val="0"/>
          <w:lang w:val="en-US"/>
          <w14:textFill>
            <w14:solidFill>
              <w14:srgbClr w14:val="292929"/>
            </w14:solidFill>
          </w14:textFill>
        </w:rPr>
        <w:t>s why it is imperative that we build on this moment and expand our capabilities to include donors with other serious diseases, such as cancer.</w:t>
      </w:r>
      <w:r>
        <w:rPr>
          <w:outline w:val="0"/>
          <w:color w:val="282828"/>
          <w:rtl w:val="0"/>
          <w:lang w:val="en-US"/>
          <w14:textFill>
            <w14:solidFill>
              <w14:srgbClr w14:val="292929"/>
            </w14:solidFill>
          </w14:textFill>
        </w:rPr>
        <w:t>”</w:t>
      </w:r>
    </w:p>
    <w:p>
      <w:pPr>
        <w:pStyle w:val="Body"/>
        <w:widowControl w:val="1"/>
        <w:spacing w:line="276" w:lineRule="auto"/>
        <w:rPr>
          <w:outline w:val="0"/>
          <w:color w:val="282828"/>
          <w14:textFill>
            <w14:solidFill>
              <w14:srgbClr w14:val="292929"/>
            </w14:solidFill>
          </w14:textFill>
        </w:rPr>
      </w:pPr>
    </w:p>
    <w:p>
      <w:pPr>
        <w:pStyle w:val="Body"/>
        <w:widowControl w:val="1"/>
        <w:spacing w:line="276" w:lineRule="auto"/>
        <w:rPr>
          <w:outline w:val="0"/>
          <w:color w:val="282828"/>
          <w14:textFill>
            <w14:solidFill>
              <w14:srgbClr w14:val="292929"/>
            </w14:solidFill>
          </w14:textFill>
        </w:rPr>
      </w:pPr>
      <w:r>
        <w:rPr>
          <w:outline w:val="0"/>
          <w:color w:val="282828"/>
          <w:rtl w:val="0"/>
          <w:lang w:val="en-US"/>
          <w14:textFill>
            <w14:solidFill>
              <w14:srgbClr w14:val="292929"/>
            </w14:solidFill>
          </w14:textFill>
        </w:rPr>
        <w:t xml:space="preserve">By safely sourcing donor material from patients with chronic autoimmune conditions, OrganaBio is addressing several challenges. This population is more likely to produce cells that behave like those of future recipients of an autologous (patient-derived) CAR-T therapy, given natural similarities such as epigenetic memory. Additionally, since different conditions can make apheresis </w:t>
      </w:r>
      <w:r>
        <w:rPr>
          <w:outline w:val="0"/>
          <w:color w:val="282828"/>
          <w:rtl w:val="0"/>
          <w:lang w:val="en-US"/>
          <w14:textFill>
            <w14:solidFill>
              <w14:srgbClr w14:val="292929"/>
            </w14:solidFill>
          </w14:textFill>
        </w:rPr>
        <w:t xml:space="preserve">– </w:t>
      </w:r>
      <w:r>
        <w:rPr>
          <w:outline w:val="0"/>
          <w:color w:val="282828"/>
          <w:rtl w:val="0"/>
          <w:lang w:val="en-US"/>
          <w14:textFill>
            <w14:solidFill>
              <w14:srgbClr w14:val="292929"/>
            </w14:solidFill>
          </w14:textFill>
        </w:rPr>
        <w:t xml:space="preserve">the process of isolating material </w:t>
      </w:r>
      <w:r>
        <w:rPr>
          <w:outline w:val="0"/>
          <w:color w:val="282828"/>
          <w:rtl w:val="0"/>
          <w:lang w:val="en-US"/>
          <w14:textFill>
            <w14:solidFill>
              <w14:srgbClr w14:val="292929"/>
            </w14:solidFill>
          </w14:textFill>
        </w:rPr>
        <w:t xml:space="preserve">– </w:t>
      </w:r>
      <w:r>
        <w:rPr>
          <w:outline w:val="0"/>
          <w:color w:val="282828"/>
          <w:rtl w:val="0"/>
          <w:lang w:val="en-US"/>
          <w14:textFill>
            <w14:solidFill>
              <w14:srgbClr w14:val="292929"/>
            </w14:solidFill>
          </w14:textFill>
        </w:rPr>
        <w:t>more complex, the company is expanding their expertise and experience with this donor population that will contribute to the development of specialized protocols that can optimize and standardize the collection process for these future patients.</w:t>
      </w:r>
    </w:p>
    <w:p>
      <w:pPr>
        <w:pStyle w:val="Body"/>
        <w:widowControl w:val="1"/>
        <w:spacing w:line="276" w:lineRule="auto"/>
        <w:rPr>
          <w:outline w:val="0"/>
          <w:color w:val="282828"/>
          <w14:textFill>
            <w14:solidFill>
              <w14:srgbClr w14:val="292929"/>
            </w14:solidFill>
          </w14:textFill>
        </w:rPr>
      </w:pPr>
    </w:p>
    <w:p>
      <w:pPr>
        <w:pStyle w:val="Body"/>
        <w:widowControl w:val="1"/>
        <w:spacing w:line="276" w:lineRule="auto"/>
        <w:rPr>
          <w:outline w:val="0"/>
          <w:color w:val="282828"/>
          <w14:textFill>
            <w14:solidFill>
              <w14:srgbClr w14:val="292929"/>
            </w14:solidFill>
          </w14:textFill>
        </w:rPr>
      </w:pPr>
      <w:r>
        <w:rPr>
          <w:outline w:val="0"/>
          <w:color w:val="282828"/>
          <w:rtl w:val="0"/>
          <w:lang w:val="en-US"/>
          <w14:textFill>
            <w14:solidFill>
              <w14:srgbClr w14:val="292929"/>
            </w14:solidFill>
          </w14:textFill>
        </w:rPr>
        <w:t>Further, because of OrganaBio</w:t>
      </w:r>
      <w:r>
        <w:rPr>
          <w:outline w:val="0"/>
          <w:color w:val="282828"/>
          <w:rtl w:val="0"/>
          <w:lang w:val="en-US"/>
          <w14:textFill>
            <w14:solidFill>
              <w14:srgbClr w14:val="292929"/>
            </w14:solidFill>
          </w14:textFill>
        </w:rPr>
        <w:t>’</w:t>
      </w:r>
      <w:r>
        <w:rPr>
          <w:outline w:val="0"/>
          <w:color w:val="282828"/>
          <w:rtl w:val="0"/>
          <w:lang w:val="en-US"/>
          <w14:textFill>
            <w14:solidFill>
              <w14:srgbClr w14:val="292929"/>
            </w14:solidFill>
          </w14:textFill>
        </w:rPr>
        <w:t>s GMP manufacturing capabilities, stringent ethical framework and commitment to donor safety, donors with an autoimmune disease may also form the basis of a pool for next-generation allogeneic cell therapies, which are derived from donors instead of patients.</w:t>
      </w:r>
    </w:p>
    <w:p>
      <w:pPr>
        <w:pStyle w:val="Body"/>
        <w:widowControl w:val="1"/>
        <w:spacing w:line="276" w:lineRule="auto"/>
        <w:rPr>
          <w:outline w:val="0"/>
          <w:color w:val="282828"/>
          <w14:textFill>
            <w14:solidFill>
              <w14:srgbClr w14:val="292929"/>
            </w14:solidFill>
          </w14:textFill>
        </w:rPr>
      </w:pPr>
    </w:p>
    <w:p>
      <w:pPr>
        <w:pStyle w:val="Body"/>
        <w:widowControl w:val="1"/>
        <w:spacing w:line="276" w:lineRule="auto"/>
        <w:rPr>
          <w:b w:val="1"/>
          <w:bCs w:val="1"/>
          <w:outline w:val="0"/>
          <w:color w:val="282828"/>
          <w14:textFill>
            <w14:solidFill>
              <w14:srgbClr w14:val="292929"/>
            </w14:solidFill>
          </w14:textFill>
        </w:rPr>
      </w:pPr>
      <w:r>
        <w:rPr>
          <w:b w:val="1"/>
          <w:bCs w:val="1"/>
          <w:outline w:val="0"/>
          <w:color w:val="282828"/>
          <w:rtl w:val="0"/>
          <w:lang w:val="en-US"/>
          <w14:textFill>
            <w14:solidFill>
              <w14:srgbClr w14:val="292929"/>
            </w14:solidFill>
          </w14:textFill>
        </w:rPr>
        <w:t>About OrganaBio</w:t>
      </w:r>
    </w:p>
    <w:p>
      <w:pPr>
        <w:pStyle w:val="Body"/>
        <w:widowControl w:val="1"/>
        <w:spacing w:line="276" w:lineRule="auto"/>
        <w:rPr>
          <w:outline w:val="0"/>
          <w:color w:val="282828"/>
          <w14:textFill>
            <w14:solidFill>
              <w14:srgbClr w14:val="292929"/>
            </w14:solidFill>
          </w14:textFill>
        </w:rPr>
      </w:pPr>
      <w:r>
        <w:rPr>
          <w:outline w:val="0"/>
          <w:color w:val="282828"/>
          <w:rtl w:val="0"/>
          <w:lang w:val="en-US"/>
          <w14:textFill>
            <w14:solidFill>
              <w14:srgbClr w14:val="292929"/>
            </w14:solidFill>
          </w14:textFill>
        </w:rPr>
        <w:t xml:space="preserve">OrganaBio is a robust and reliable biotech solutions provider for cell therapy and immunotherapy developers. The company has pioneered a new paradigm for ethically accelerating the deployment of cell therapies, making critical resources that are essential for therapeutics development accessible, and marrying this to manufacturing capabilities. OrganaBio spans the full development lifecycle </w:t>
      </w:r>
      <w:r>
        <w:rPr>
          <w:outline w:val="0"/>
          <w:color w:val="282828"/>
          <w:rtl w:val="0"/>
          <w:lang w:val="en-US"/>
          <w14:textFill>
            <w14:solidFill>
              <w14:srgbClr w14:val="292929"/>
            </w14:solidFill>
          </w14:textFill>
        </w:rPr>
        <w:t xml:space="preserve">– </w:t>
      </w:r>
      <w:r>
        <w:rPr>
          <w:outline w:val="0"/>
          <w:color w:val="282828"/>
          <w:rtl w:val="0"/>
          <w:lang w:val="en-US"/>
          <w14:textFill>
            <w14:solidFill>
              <w14:srgbClr w14:val="292929"/>
            </w14:solidFill>
          </w14:textFill>
        </w:rPr>
        <w:t>from proprietary tissue supply chains and cellular starting materials to expert support services including development and testing. Its state-of-the-art, ready-to-use cGMP manufacturing facility supports the rapid, economical, and ethical manufacture of clinical materials from birth tissues, apheresis products, and their components (including HSCs, PBMCs, NK cells, T cells, and subsets of these cells).</w:t>
      </w:r>
    </w:p>
    <w:p>
      <w:pPr>
        <w:pStyle w:val="Body"/>
        <w:widowControl w:val="1"/>
        <w:spacing w:line="276" w:lineRule="auto"/>
        <w:rPr>
          <w:outline w:val="0"/>
          <w:color w:val="282828"/>
          <w14:textFill>
            <w14:solidFill>
              <w14:srgbClr w14:val="292929"/>
            </w14:solidFill>
          </w14:textFill>
        </w:rPr>
      </w:pPr>
      <w:r>
        <w:rPr>
          <w:outline w:val="0"/>
          <w:color w:val="282828"/>
          <w:rtl w:val="0"/>
          <w14:textFill>
            <w14:solidFill>
              <w14:srgbClr w14:val="292929"/>
            </w14:solidFill>
          </w14:textFill>
        </w:rPr>
        <w:t xml:space="preserve"> </w:t>
      </w:r>
    </w:p>
    <w:p>
      <w:pPr>
        <w:pStyle w:val="Body"/>
        <w:widowControl w:val="1"/>
        <w:spacing w:line="276" w:lineRule="auto"/>
        <w:rPr>
          <w:outline w:val="0"/>
          <w:color w:val="282828"/>
          <w:lang w:val="en-US"/>
          <w14:textFill>
            <w14:solidFill>
              <w14:srgbClr w14:val="292929"/>
            </w14:solidFill>
          </w14:textFill>
        </w:rPr>
      </w:pPr>
      <w:r>
        <w:rPr>
          <w:outline w:val="0"/>
          <w:color w:val="282828"/>
          <w:rtl w:val="0"/>
          <w:lang w:val="en-US"/>
          <w14:textFill>
            <w14:solidFill>
              <w14:srgbClr w14:val="292929"/>
            </w14:solidFill>
          </w14:textFill>
        </w:rPr>
        <w:t>Strategic partnerships are needed to accelerate advanced therapies from the lab to global commercialization. OrganaBio</w:t>
      </w:r>
      <w:r>
        <w:rPr>
          <w:outline w:val="0"/>
          <w:color w:val="282828"/>
          <w:rtl w:val="0"/>
          <w:lang w:val="en-US"/>
          <w14:textFill>
            <w14:solidFill>
              <w14:srgbClr w14:val="292929"/>
            </w14:solidFill>
          </w14:textFill>
        </w:rPr>
        <w:t>’</w:t>
      </w:r>
      <w:r>
        <w:rPr>
          <w:outline w:val="0"/>
          <w:color w:val="282828"/>
          <w:rtl w:val="0"/>
          <w:lang w:val="en-US"/>
          <w14:textFill>
            <w14:solidFill>
              <w14:srgbClr w14:val="292929"/>
            </w14:solidFill>
          </w14:textFill>
        </w:rPr>
        <w:t>s flexibility and agility allow partners to significantly reduce manufacturing costs and timelines, with best-in-class donor management practices and tissue collection facilities. OrganaBio sources donor tissues under fully consented institutional review board (IRB)-approved protocols, and in accordance with US FDA standards. More about OrganaBio can be found at www.organabio.com.</w:t>
      </w:r>
    </w:p>
    <w:p>
      <w:pPr>
        <w:pStyle w:val="Body"/>
        <w:widowControl w:val="1"/>
        <w:spacing w:line="276" w:lineRule="auto"/>
        <w:rPr>
          <w:outline w:val="0"/>
          <w:color w:val="282828"/>
          <w:lang w:val="en-US"/>
          <w14:textFill>
            <w14:solidFill>
              <w14:srgbClr w14:val="292929"/>
            </w14:solidFill>
          </w14:textFill>
        </w:rPr>
      </w:pPr>
    </w:p>
    <w:p>
      <w:pPr>
        <w:pStyle w:val="Body"/>
        <w:widowControl w:val="1"/>
        <w:spacing w:line="276" w:lineRule="auto"/>
        <w:rPr>
          <w:outline w:val="0"/>
          <w:color w:val="282828"/>
          <w:lang w:val="en-US"/>
          <w14:textFill>
            <w14:solidFill>
              <w14:srgbClr w14:val="292929"/>
            </w14:solidFill>
          </w14:textFill>
        </w:rPr>
      </w:pPr>
    </w:p>
    <w:p>
      <w:pPr>
        <w:pStyle w:val="Body"/>
        <w:widowControl w:val="1"/>
      </w:pPr>
      <w:r>
        <w:rPr>
          <w:outline w:val="0"/>
          <w:color w:val="282828"/>
          <w:rtl w:val="0"/>
          <w14:textFill>
            <w14:solidFill>
              <w14:srgbClr w14:val="292929"/>
            </w14:solidFill>
          </w14:textFill>
        </w:rPr>
        <w:t xml:space="preserve"> 1.M</w:t>
      </w:r>
      <w:r>
        <w:rPr>
          <w:outline w:val="0"/>
          <w:color w:val="282828"/>
          <w:rtl w:val="0"/>
          <w14:textFill>
            <w14:solidFill>
              <w14:srgbClr w14:val="292929"/>
            </w14:solidFill>
          </w14:textFill>
        </w:rPr>
        <w:t>ü</w:t>
      </w:r>
      <w:r>
        <w:rPr>
          <w:outline w:val="0"/>
          <w:color w:val="282828"/>
          <w:rtl w:val="0"/>
          <w:lang w:val="de-DE"/>
          <w14:textFill>
            <w14:solidFill>
              <w14:srgbClr w14:val="292929"/>
            </w14:solidFill>
          </w14:textFill>
        </w:rPr>
        <w:t>ller F, Taubmann J, Bucci L, Wilhelm A, Bergmann C, V</w:t>
      </w:r>
      <w:r>
        <w:rPr>
          <w:outline w:val="0"/>
          <w:color w:val="282828"/>
          <w:rtl w:val="0"/>
          <w:lang w:val="sv-SE"/>
          <w14:textFill>
            <w14:solidFill>
              <w14:srgbClr w14:val="292929"/>
            </w14:solidFill>
          </w14:textFill>
        </w:rPr>
        <w:t>ö</w:t>
      </w:r>
      <w:r>
        <w:rPr>
          <w:outline w:val="0"/>
          <w:color w:val="282828"/>
          <w:rtl w:val="0"/>
          <w14:textFill>
            <w14:solidFill>
              <w14:srgbClr w14:val="292929"/>
            </w14:solidFill>
          </w14:textFill>
        </w:rPr>
        <w:t xml:space="preserve">lkl S, et al. </w:t>
      </w:r>
      <w:r>
        <w:rPr>
          <w:rStyle w:val="Hyperlink.1"/>
          <w:outline w:val="0"/>
          <w:color w:val="282828"/>
          <w14:textFill>
            <w14:solidFill>
              <w14:srgbClr w14:val="292929"/>
            </w14:solidFill>
          </w14:textFill>
        </w:rPr>
        <w:fldChar w:fldCharType="begin" w:fldLock="0"/>
      </w:r>
      <w:r>
        <w:rPr>
          <w:rStyle w:val="Hyperlink.1"/>
          <w:outline w:val="0"/>
          <w:color w:val="282828"/>
          <w14:textFill>
            <w14:solidFill>
              <w14:srgbClr w14:val="292929"/>
            </w14:solidFill>
          </w14:textFill>
        </w:rPr>
        <w:instrText xml:space="preserve"> HYPERLINK "https://www.nejm.org/doi/full/10.1056/NEJMoa2308917"</w:instrText>
      </w:r>
      <w:r>
        <w:rPr>
          <w:rStyle w:val="Hyperlink.1"/>
          <w:outline w:val="0"/>
          <w:color w:val="282828"/>
          <w14:textFill>
            <w14:solidFill>
              <w14:srgbClr w14:val="292929"/>
            </w14:solidFill>
          </w14:textFill>
        </w:rPr>
        <w:fldChar w:fldCharType="separate" w:fldLock="0"/>
      </w:r>
      <w:r>
        <w:rPr>
          <w:rStyle w:val="Hyperlink.1"/>
          <w:outline w:val="0"/>
          <w:color w:val="282828"/>
          <w:rtl w:val="0"/>
          <w:lang w:val="en-US"/>
          <w14:textFill>
            <w14:solidFill>
              <w14:srgbClr w14:val="292929"/>
            </w14:solidFill>
          </w14:textFill>
        </w:rPr>
        <w:t xml:space="preserve">CD19 CAR T-Cell Therapy in Autoimmune Disease </w:t>
      </w:r>
      <w:r>
        <w:rPr>
          <w:rStyle w:val="Hyperlink.1"/>
          <w:outline w:val="0"/>
          <w:color w:val="282828"/>
          <w:rtl w:val="0"/>
          <w:lang w:val="en-US"/>
          <w14:textFill>
            <w14:solidFill>
              <w14:srgbClr w14:val="292929"/>
            </w14:solidFill>
          </w14:textFill>
        </w:rPr>
        <w:t xml:space="preserve">— </w:t>
      </w:r>
      <w:r>
        <w:rPr>
          <w:rStyle w:val="Hyperlink.1"/>
          <w:outline w:val="0"/>
          <w:color w:val="282828"/>
          <w:rtl w:val="0"/>
          <w:lang w:val="en-US"/>
          <w14:textFill>
            <w14:solidFill>
              <w14:srgbClr w14:val="292929"/>
            </w14:solidFill>
          </w14:textFill>
        </w:rPr>
        <w:t>A Case Series with Follow-up</w:t>
      </w:r>
      <w:r>
        <w:rPr>
          <w:outline w:val="0"/>
          <w:color w:val="282828"/>
          <w14:textFill>
            <w14:solidFill>
              <w14:srgbClr w14:val="292929"/>
            </w14:solidFill>
          </w14:textFill>
        </w:rPr>
        <w:fldChar w:fldCharType="end" w:fldLock="0"/>
      </w:r>
      <w:r>
        <w:rPr>
          <w:outline w:val="0"/>
          <w:color w:val="282828"/>
          <w:rtl w:val="0"/>
          <w:lang w:val="en-US"/>
          <w14:textFill>
            <w14:solidFill>
              <w14:srgbClr w14:val="292929"/>
            </w14:solidFill>
          </w14:textFill>
        </w:rPr>
        <w:t>. The New England Journal of Medicine. 2024 Feb 22;390(8):687</w:t>
      </w:r>
      <w:r>
        <w:rPr>
          <w:outline w:val="0"/>
          <w:color w:val="282828"/>
          <w:rtl w:val="0"/>
          <w14:textFill>
            <w14:solidFill>
              <w14:srgbClr w14:val="292929"/>
            </w14:solidFill>
          </w14:textFill>
        </w:rPr>
        <w:t>–</w:t>
      </w:r>
      <w:r>
        <w:rPr>
          <w:outline w:val="0"/>
          <w:color w:val="282828"/>
          <w:rtl w:val="0"/>
          <w14:textFill>
            <w14:solidFill>
              <w14:srgbClr w14:val="292929"/>
            </w14:solidFill>
          </w14:textFill>
        </w:rPr>
        <w:t>700.</w:t>
      </w:r>
    </w:p>
    <w:sectPr>
      <w:headerReference w:type="default" r:id="rId5"/>
      <w:footerReference w:type="default" r:id="rId6"/>
      <w:pgSz w:w="11906" w:h="16838" w:orient="portrait"/>
      <w:pgMar w:top="1134" w:right="1134" w:bottom="1134" w:left="1134" w:header="709" w:footer="850"/>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endnote w:type="separator" w:id="-1">
    <w:p>
      <w:r>
        <w:separator/>
      </w:r>
    </w:p>
  </w:endnote>
  <w:endnote w:type="continuationSeparator" w:id="0">
    <w:p>
      <w:r>
        <w:continuationSeparator/>
      </w:r>
    </w:p>
  </w:endnote>
  <w:endnote w:type="continuationNotice" w:id="-2">
    <w:p>
      <w:r>
        <w:t/>
      </w:r>
    </w:p>
  </w:endnote>
  <w:endnote w:id="1"/>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5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6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0" w:formatting="0"/>
  <w:defaultTabStop w:val="720"/>
  <w:autoHyphenation w:val="0"/>
  <w:evenAndOddHeaders w:val="0"/>
  <w:bookFoldPrinting w:val="0"/>
  <w:noLineBreaksAfter w:lang="English" w:val="‘“(〔[{〈《「『【⦅〘〖«〝︵︷︹︻︽︿﹁﹃﹇﹙﹛﹝｢"/>
  <w:noLineBreaksBefore w:lang="English"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1">
    <w:name w:val="Hyperlink.1"/>
    <w:basedOn w:val="None"/>
    <w:next w:val="Hyperlink.1"/>
    <w:rPr>
      <w:u w:color="1155cc"/>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endnotes" Target="endnotes.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